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39DFE" w14:textId="77777777" w:rsidR="00E343B0" w:rsidRDefault="00E343B0" w:rsidP="00CF53C8">
      <w:pPr>
        <w:pStyle w:val="co"/>
        <w:rPr>
          <w:rStyle w:val="cm"/>
          <w:rFonts w:ascii="Arial" w:hAnsi="Arial" w:cs="Arial"/>
          <w:sz w:val="22"/>
          <w:szCs w:val="22"/>
        </w:rPr>
      </w:pPr>
    </w:p>
    <w:p w14:paraId="30B0FF8D" w14:textId="77777777" w:rsidR="00E343B0" w:rsidRDefault="00E343B0" w:rsidP="00CF53C8">
      <w:pPr>
        <w:pStyle w:val="co"/>
        <w:rPr>
          <w:rStyle w:val="cm"/>
          <w:rFonts w:ascii="Arial" w:hAnsi="Arial" w:cs="Arial"/>
          <w:sz w:val="22"/>
          <w:szCs w:val="22"/>
        </w:rPr>
      </w:pPr>
      <w:r w:rsidRPr="00E343B0">
        <w:rPr>
          <w:rStyle w:val="cm"/>
          <w:rFonts w:ascii="Arial" w:hAnsi="Arial" w:cs="Arial"/>
          <w:noProof/>
          <w:sz w:val="22"/>
          <w:szCs w:val="22"/>
          <w:lang w:val="en-JM" w:eastAsia="en-JM"/>
        </w:rPr>
        <w:drawing>
          <wp:anchor distT="0" distB="0" distL="114300" distR="114300" simplePos="0" relativeHeight="251659264" behindDoc="0" locked="0" layoutInCell="1" allowOverlap="1" wp14:anchorId="3C1CD6E3" wp14:editId="396C926A">
            <wp:simplePos x="0" y="0"/>
            <wp:positionH relativeFrom="column">
              <wp:posOffset>-662940</wp:posOffset>
            </wp:positionH>
            <wp:positionV relativeFrom="paragraph">
              <wp:posOffset>-738505</wp:posOffset>
            </wp:positionV>
            <wp:extent cx="1809750"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7210" cy="800100"/>
                    </a:xfrm>
                    <a:prstGeom prst="rect">
                      <a:avLst/>
                    </a:prstGeom>
                    <a:noFill/>
                    <a:ln>
                      <a:noFill/>
                    </a:ln>
                  </pic:spPr>
                </pic:pic>
              </a:graphicData>
            </a:graphic>
          </wp:anchor>
        </w:drawing>
      </w:r>
    </w:p>
    <w:p w14:paraId="11489BBE" w14:textId="5B651AF8" w:rsidR="00556FE6" w:rsidRPr="00CF53C8" w:rsidRDefault="00455477" w:rsidP="00CF53C8">
      <w:pPr>
        <w:pStyle w:val="co"/>
        <w:rPr>
          <w:rStyle w:val="cm"/>
          <w:rFonts w:ascii="Arial" w:hAnsi="Arial" w:cs="Arial"/>
          <w:b/>
          <w:sz w:val="22"/>
          <w:szCs w:val="22"/>
        </w:rPr>
      </w:pPr>
      <w:r>
        <w:rPr>
          <w:rStyle w:val="cm"/>
          <w:rFonts w:ascii="Arial" w:hAnsi="Arial" w:cs="Arial"/>
          <w:sz w:val="22"/>
          <w:szCs w:val="22"/>
        </w:rPr>
        <w:t>19</w:t>
      </w:r>
      <w:r w:rsidR="00993CF0" w:rsidRPr="00CF53C8">
        <w:rPr>
          <w:rStyle w:val="cm"/>
          <w:rFonts w:ascii="Arial" w:hAnsi="Arial" w:cs="Arial"/>
          <w:sz w:val="22"/>
          <w:szCs w:val="22"/>
        </w:rPr>
        <w:t xml:space="preserve"> </w:t>
      </w:r>
      <w:r w:rsidR="00556FE6" w:rsidRPr="00CF53C8">
        <w:rPr>
          <w:rStyle w:val="cm"/>
          <w:rFonts w:ascii="Arial" w:hAnsi="Arial" w:cs="Arial"/>
          <w:sz w:val="22"/>
          <w:szCs w:val="22"/>
        </w:rPr>
        <w:t>February 201</w:t>
      </w:r>
      <w:r>
        <w:rPr>
          <w:rStyle w:val="cm"/>
          <w:rFonts w:ascii="Arial" w:hAnsi="Arial" w:cs="Arial"/>
          <w:sz w:val="22"/>
          <w:szCs w:val="22"/>
        </w:rPr>
        <w:t>6</w:t>
      </w:r>
    </w:p>
    <w:p w14:paraId="298B817F" w14:textId="77777777" w:rsidR="00556FE6" w:rsidRPr="00E343B0" w:rsidRDefault="00556FE6" w:rsidP="00125E7A">
      <w:pPr>
        <w:pStyle w:val="co"/>
        <w:jc w:val="center"/>
        <w:rPr>
          <w:rFonts w:ascii="Arial" w:hAnsi="Arial" w:cs="Arial"/>
          <w:sz w:val="22"/>
          <w:szCs w:val="22"/>
        </w:rPr>
      </w:pPr>
      <w:bookmarkStart w:id="0" w:name="_GoBack"/>
      <w:bookmarkEnd w:id="0"/>
      <w:r w:rsidRPr="00E343B0">
        <w:rPr>
          <w:rStyle w:val="cm"/>
          <w:rFonts w:ascii="Arial" w:hAnsi="Arial" w:cs="Arial"/>
          <w:sz w:val="22"/>
          <w:szCs w:val="22"/>
        </w:rPr>
        <w:t>CATCo Reinsurance Opportunities Fund Ltd. ("the Company")</w:t>
      </w:r>
    </w:p>
    <w:p w14:paraId="67F3A4D3" w14:textId="77777777" w:rsidR="00556FE6" w:rsidRPr="00A15330" w:rsidRDefault="00556FE6" w:rsidP="00125E7A">
      <w:pPr>
        <w:pStyle w:val="co"/>
        <w:jc w:val="center"/>
        <w:rPr>
          <w:rFonts w:ascii="Arial" w:hAnsi="Arial" w:cs="Arial"/>
          <w:b/>
          <w:sz w:val="22"/>
          <w:szCs w:val="22"/>
        </w:rPr>
      </w:pPr>
      <w:r>
        <w:rPr>
          <w:rStyle w:val="cm"/>
          <w:rFonts w:ascii="Arial" w:hAnsi="Arial" w:cs="Arial"/>
          <w:b/>
          <w:sz w:val="22"/>
          <w:szCs w:val="22"/>
        </w:rPr>
        <w:t>Annual Financial Report</w:t>
      </w:r>
    </w:p>
    <w:p w14:paraId="09071BA1" w14:textId="35783C6A" w:rsidR="00556FE6" w:rsidRPr="00A15330" w:rsidRDefault="002F22D7" w:rsidP="00125E7A">
      <w:pPr>
        <w:pStyle w:val="co"/>
        <w:jc w:val="center"/>
        <w:rPr>
          <w:rFonts w:ascii="Arial" w:hAnsi="Arial" w:cs="Arial"/>
          <w:b/>
          <w:sz w:val="22"/>
          <w:szCs w:val="22"/>
        </w:rPr>
      </w:pPr>
      <w:r>
        <w:rPr>
          <w:rStyle w:val="cm"/>
          <w:rFonts w:ascii="Arial" w:hAnsi="Arial" w:cs="Arial"/>
          <w:b/>
          <w:sz w:val="22"/>
          <w:szCs w:val="22"/>
        </w:rPr>
        <w:t>For the 12 month period 1 January 201</w:t>
      </w:r>
      <w:r w:rsidR="00455477">
        <w:rPr>
          <w:rStyle w:val="cm"/>
          <w:rFonts w:ascii="Arial" w:hAnsi="Arial" w:cs="Arial"/>
          <w:b/>
          <w:sz w:val="22"/>
          <w:szCs w:val="22"/>
        </w:rPr>
        <w:t>5</w:t>
      </w:r>
      <w:r w:rsidR="00556FE6" w:rsidRPr="00A15330">
        <w:rPr>
          <w:rStyle w:val="cm"/>
          <w:rFonts w:ascii="Arial" w:hAnsi="Arial" w:cs="Arial"/>
          <w:b/>
          <w:sz w:val="22"/>
          <w:szCs w:val="22"/>
        </w:rPr>
        <w:t xml:space="preserve"> to 31 December 201</w:t>
      </w:r>
      <w:r w:rsidR="00455477">
        <w:rPr>
          <w:rStyle w:val="cm"/>
          <w:rFonts w:ascii="Arial" w:hAnsi="Arial" w:cs="Arial"/>
          <w:b/>
          <w:sz w:val="22"/>
          <w:szCs w:val="22"/>
        </w:rPr>
        <w:t>5</w:t>
      </w:r>
    </w:p>
    <w:p w14:paraId="70BBB552" w14:textId="77777777" w:rsidR="00556FE6" w:rsidRPr="00A15330" w:rsidRDefault="00556FE6" w:rsidP="00125E7A">
      <w:pPr>
        <w:jc w:val="both"/>
        <w:rPr>
          <w:rStyle w:val="cm"/>
          <w:rFonts w:cs="Arial"/>
          <w:szCs w:val="22"/>
        </w:rPr>
      </w:pPr>
    </w:p>
    <w:p w14:paraId="6C27EFB7" w14:textId="77777777" w:rsidR="00556FE6" w:rsidRPr="00125E7A" w:rsidRDefault="00556FE6" w:rsidP="00125E7A">
      <w:pPr>
        <w:jc w:val="both"/>
        <w:rPr>
          <w:rFonts w:cs="Arial"/>
          <w:b/>
          <w:color w:val="000000"/>
          <w:szCs w:val="22"/>
        </w:rPr>
      </w:pPr>
      <w:r w:rsidRPr="00A15330">
        <w:rPr>
          <w:rStyle w:val="cm"/>
          <w:rFonts w:cs="Arial"/>
          <w:szCs w:val="22"/>
        </w:rPr>
        <w:t xml:space="preserve">To: </w:t>
      </w:r>
      <w:r w:rsidRPr="00125E7A">
        <w:rPr>
          <w:rFonts w:cs="Arial"/>
          <w:color w:val="000000"/>
        </w:rPr>
        <w:t>Specialist Fund Market</w:t>
      </w:r>
      <w:r w:rsidRPr="00A15330">
        <w:rPr>
          <w:rStyle w:val="cm"/>
          <w:rFonts w:cs="Arial"/>
          <w:szCs w:val="22"/>
        </w:rPr>
        <w:t>, London Stock Exchange and Bermuda Stock Exchange</w:t>
      </w:r>
      <w:r w:rsidRPr="00A15330">
        <w:rPr>
          <w:rStyle w:val="cm"/>
          <w:rFonts w:cs="Arial"/>
          <w:szCs w:val="22"/>
        </w:rPr>
        <w:tab/>
      </w:r>
    </w:p>
    <w:p w14:paraId="53243318" w14:textId="77777777" w:rsidR="00556FE6" w:rsidRPr="00A15330" w:rsidRDefault="00556FE6" w:rsidP="00125E7A">
      <w:pPr>
        <w:autoSpaceDE w:val="0"/>
        <w:autoSpaceDN w:val="0"/>
        <w:adjustRightInd w:val="0"/>
        <w:jc w:val="both"/>
        <w:rPr>
          <w:rStyle w:val="cm"/>
          <w:rFonts w:cs="Arial"/>
          <w:szCs w:val="22"/>
        </w:rPr>
      </w:pPr>
    </w:p>
    <w:p w14:paraId="2EC9040D" w14:textId="77777777" w:rsidR="00556FE6" w:rsidRPr="00A15330" w:rsidRDefault="00556FE6" w:rsidP="00125E7A">
      <w:pPr>
        <w:autoSpaceDE w:val="0"/>
        <w:autoSpaceDN w:val="0"/>
        <w:adjustRightInd w:val="0"/>
        <w:jc w:val="both"/>
        <w:rPr>
          <w:rStyle w:val="cm"/>
          <w:rFonts w:cs="Arial"/>
          <w:szCs w:val="22"/>
        </w:rPr>
      </w:pPr>
    </w:p>
    <w:p w14:paraId="70AD2283" w14:textId="77777777" w:rsidR="00556FE6" w:rsidRPr="00A15330" w:rsidRDefault="00556FE6" w:rsidP="00591815">
      <w:pPr>
        <w:tabs>
          <w:tab w:val="left" w:pos="9720"/>
        </w:tabs>
        <w:autoSpaceDE w:val="0"/>
        <w:autoSpaceDN w:val="0"/>
        <w:adjustRightInd w:val="0"/>
        <w:ind w:right="389"/>
        <w:jc w:val="both"/>
        <w:rPr>
          <w:rFonts w:cs="Arial"/>
          <w:szCs w:val="22"/>
        </w:rPr>
      </w:pPr>
      <w:r w:rsidRPr="00A15330">
        <w:rPr>
          <w:rStyle w:val="cm"/>
          <w:rFonts w:cs="Arial"/>
          <w:szCs w:val="22"/>
        </w:rPr>
        <w:t xml:space="preserve">CATCo Reinsurance Opportunities Fund Ltd. </w:t>
      </w:r>
      <w:r w:rsidRPr="00A15330">
        <w:rPr>
          <w:rFonts w:cs="Arial"/>
          <w:szCs w:val="22"/>
        </w:rPr>
        <w:t>provides its shareholders the opportunity to participate in the returns from investments linked to catastrophe reinsurance risks, principally by investing in fully collateralised reinsurance contracts and also via a variety of insurance-based investments.</w:t>
      </w:r>
    </w:p>
    <w:p w14:paraId="3D11F9D8" w14:textId="77777777" w:rsidR="00556FE6" w:rsidRDefault="00556FE6" w:rsidP="00591815">
      <w:pPr>
        <w:tabs>
          <w:tab w:val="left" w:pos="9720"/>
        </w:tabs>
        <w:ind w:right="389"/>
        <w:jc w:val="both"/>
        <w:rPr>
          <w:rStyle w:val="cm"/>
          <w:rFonts w:cs="Arial"/>
          <w:szCs w:val="22"/>
        </w:rPr>
      </w:pPr>
    </w:p>
    <w:p w14:paraId="75AAAFDA" w14:textId="77777777" w:rsidR="00AE7692" w:rsidRDefault="00AE7692" w:rsidP="00591815">
      <w:pPr>
        <w:tabs>
          <w:tab w:val="left" w:pos="9720"/>
        </w:tabs>
        <w:ind w:right="389"/>
        <w:jc w:val="both"/>
        <w:rPr>
          <w:b/>
          <w:bCs/>
          <w:color w:val="000000"/>
        </w:rPr>
      </w:pPr>
    </w:p>
    <w:p w14:paraId="30293CFA" w14:textId="3D702122" w:rsidR="00AE7692" w:rsidRPr="00F13C64" w:rsidRDefault="00455477" w:rsidP="00591815">
      <w:pPr>
        <w:tabs>
          <w:tab w:val="left" w:pos="9720"/>
        </w:tabs>
        <w:ind w:right="389"/>
        <w:jc w:val="both"/>
        <w:rPr>
          <w:rFonts w:cs="Arial"/>
          <w:color w:val="000000"/>
        </w:rPr>
      </w:pPr>
      <w:r w:rsidRPr="00F13C64">
        <w:rPr>
          <w:rFonts w:cs="Arial"/>
          <w:b/>
          <w:bCs/>
          <w:color w:val="000000"/>
        </w:rPr>
        <w:t>2015</w:t>
      </w:r>
      <w:r w:rsidR="00AE7692" w:rsidRPr="00F13C64">
        <w:rPr>
          <w:rFonts w:cs="Arial"/>
          <w:b/>
          <w:bCs/>
          <w:color w:val="000000"/>
        </w:rPr>
        <w:t xml:space="preserve"> Highlights</w:t>
      </w:r>
    </w:p>
    <w:p w14:paraId="5B0C5872" w14:textId="4E737FC6" w:rsidR="000B0D31" w:rsidRPr="00F13C64" w:rsidRDefault="000B0D31" w:rsidP="000B0D31">
      <w:pPr>
        <w:pStyle w:val="ListParagraph"/>
        <w:numPr>
          <w:ilvl w:val="0"/>
          <w:numId w:val="7"/>
        </w:numPr>
        <w:tabs>
          <w:tab w:val="left" w:pos="9720"/>
        </w:tabs>
        <w:spacing w:before="120"/>
        <w:ind w:right="389" w:hanging="793"/>
        <w:jc w:val="both"/>
        <w:rPr>
          <w:rFonts w:ascii="Arial" w:hAnsi="Arial" w:cs="Arial"/>
          <w:color w:val="000000"/>
        </w:rPr>
      </w:pPr>
      <w:r w:rsidRPr="00F13C64">
        <w:rPr>
          <w:rFonts w:ascii="Arial" w:hAnsi="Arial" w:cs="Arial"/>
          <w:color w:val="000000"/>
        </w:rPr>
        <w:t>Net Asset Value Return of 11.58%</w:t>
      </w:r>
    </w:p>
    <w:p w14:paraId="4B2B8368" w14:textId="4DDE33EB" w:rsidR="000B0D31" w:rsidRPr="00F13C64" w:rsidRDefault="000B0D31" w:rsidP="000B0D31">
      <w:pPr>
        <w:pStyle w:val="ListParagraph"/>
        <w:numPr>
          <w:ilvl w:val="0"/>
          <w:numId w:val="7"/>
        </w:numPr>
        <w:tabs>
          <w:tab w:val="left" w:pos="9720"/>
        </w:tabs>
        <w:spacing w:before="120"/>
        <w:ind w:right="389" w:hanging="793"/>
        <w:jc w:val="both"/>
        <w:rPr>
          <w:rFonts w:ascii="Arial" w:hAnsi="Arial" w:cs="Arial"/>
          <w:color w:val="000000"/>
          <w:szCs w:val="20"/>
        </w:rPr>
      </w:pPr>
      <w:r w:rsidRPr="00F13C64">
        <w:rPr>
          <w:rFonts w:ascii="Arial" w:hAnsi="Arial" w:cs="Arial"/>
          <w:color w:val="000000"/>
        </w:rPr>
        <w:t>Share price total return of 18.1%</w:t>
      </w:r>
    </w:p>
    <w:p w14:paraId="12014ED6" w14:textId="16F61304" w:rsidR="000B0D31" w:rsidRPr="00F13C64" w:rsidRDefault="00701B0D" w:rsidP="000B0D31">
      <w:pPr>
        <w:pStyle w:val="ListParagraph"/>
        <w:numPr>
          <w:ilvl w:val="0"/>
          <w:numId w:val="7"/>
        </w:numPr>
        <w:tabs>
          <w:tab w:val="left" w:pos="9720"/>
        </w:tabs>
        <w:spacing w:before="120"/>
        <w:ind w:right="389" w:hanging="793"/>
        <w:jc w:val="both"/>
        <w:rPr>
          <w:rFonts w:ascii="Arial" w:hAnsi="Arial" w:cs="Arial"/>
          <w:color w:val="000000"/>
          <w:szCs w:val="20"/>
        </w:rPr>
      </w:pPr>
      <w:r w:rsidRPr="00F13C64">
        <w:rPr>
          <w:rFonts w:ascii="Arial" w:hAnsi="Arial" w:cs="Arial"/>
          <w:color w:val="000000"/>
        </w:rPr>
        <w:t>2015 annual dividend of $</w:t>
      </w:r>
      <w:r w:rsidR="000B0D31" w:rsidRPr="00F13C64">
        <w:rPr>
          <w:rFonts w:ascii="Arial" w:hAnsi="Arial" w:cs="Arial"/>
          <w:color w:val="000000"/>
        </w:rPr>
        <w:t>0.06619 per share paid to Shareholders</w:t>
      </w:r>
    </w:p>
    <w:p w14:paraId="2A6E50BB" w14:textId="573A31C5" w:rsidR="000B0D31" w:rsidRPr="00F13C64" w:rsidRDefault="000B0D31" w:rsidP="000B0D31">
      <w:pPr>
        <w:pStyle w:val="ListParagraph"/>
        <w:numPr>
          <w:ilvl w:val="0"/>
          <w:numId w:val="7"/>
        </w:numPr>
        <w:tabs>
          <w:tab w:val="left" w:pos="9720"/>
        </w:tabs>
        <w:spacing w:before="120"/>
        <w:ind w:right="389" w:hanging="793"/>
        <w:jc w:val="both"/>
        <w:rPr>
          <w:rFonts w:ascii="Arial" w:hAnsi="Arial" w:cs="Arial"/>
          <w:color w:val="000000"/>
        </w:rPr>
      </w:pPr>
      <w:r w:rsidRPr="00F13C64">
        <w:rPr>
          <w:rFonts w:ascii="Arial" w:hAnsi="Arial" w:cs="Arial"/>
          <w:color w:val="000000"/>
        </w:rPr>
        <w:t>C Share capital raise of $91mn</w:t>
      </w:r>
    </w:p>
    <w:p w14:paraId="50BC2650" w14:textId="77777777" w:rsidR="00455477" w:rsidRPr="00125E7A" w:rsidRDefault="00455477" w:rsidP="00455477">
      <w:pPr>
        <w:tabs>
          <w:tab w:val="left" w:pos="9720"/>
        </w:tabs>
        <w:spacing w:before="120"/>
        <w:ind w:left="714" w:right="389" w:hanging="357"/>
        <w:jc w:val="both"/>
        <w:rPr>
          <w:rFonts w:cs="Arial"/>
          <w:b/>
          <w:color w:val="000000"/>
          <w:szCs w:val="22"/>
        </w:rPr>
      </w:pPr>
    </w:p>
    <w:p w14:paraId="614A0708" w14:textId="77777777" w:rsidR="00556FE6" w:rsidRPr="00125E7A" w:rsidRDefault="00556FE6" w:rsidP="00591815">
      <w:pPr>
        <w:tabs>
          <w:tab w:val="left" w:pos="9720"/>
        </w:tabs>
        <w:ind w:right="389"/>
        <w:jc w:val="both"/>
        <w:rPr>
          <w:rFonts w:cs="Arial"/>
          <w:b/>
          <w:color w:val="000000"/>
          <w:szCs w:val="22"/>
        </w:rPr>
      </w:pPr>
    </w:p>
    <w:p w14:paraId="6FFCAA53" w14:textId="5F0C8A46" w:rsidR="00556FE6" w:rsidRPr="00125E7A" w:rsidRDefault="00556FE6" w:rsidP="00591815">
      <w:pPr>
        <w:tabs>
          <w:tab w:val="left" w:pos="9720"/>
        </w:tabs>
        <w:ind w:right="389"/>
        <w:rPr>
          <w:rFonts w:cs="Arial"/>
          <w:b/>
          <w:color w:val="000000"/>
          <w:szCs w:val="22"/>
        </w:rPr>
      </w:pPr>
      <w:r w:rsidRPr="00125E7A">
        <w:rPr>
          <w:rFonts w:cs="Arial"/>
          <w:b/>
          <w:color w:val="000000"/>
          <w:szCs w:val="22"/>
        </w:rPr>
        <w:t>CHAIRMAN’S STATEMENT</w:t>
      </w:r>
      <w:r w:rsidR="00455477">
        <w:rPr>
          <w:rFonts w:cs="Arial"/>
          <w:b/>
          <w:color w:val="000000"/>
          <w:szCs w:val="22"/>
        </w:rPr>
        <w:t xml:space="preserve"> 2015</w:t>
      </w:r>
    </w:p>
    <w:p w14:paraId="4B1F2BFC" w14:textId="77777777" w:rsidR="00556FE6" w:rsidRDefault="00556FE6" w:rsidP="00591815">
      <w:pPr>
        <w:tabs>
          <w:tab w:val="left" w:pos="9720"/>
        </w:tabs>
        <w:ind w:right="389"/>
        <w:jc w:val="both"/>
        <w:rPr>
          <w:rFonts w:cs="Arial"/>
          <w:color w:val="000000"/>
          <w:szCs w:val="22"/>
        </w:rPr>
      </w:pPr>
    </w:p>
    <w:p w14:paraId="684F2ACA" w14:textId="3BFD37CA" w:rsidR="00EB50B1" w:rsidRDefault="00EB50B1" w:rsidP="00591815">
      <w:pPr>
        <w:tabs>
          <w:tab w:val="left" w:pos="9720"/>
        </w:tabs>
        <w:ind w:right="389"/>
        <w:jc w:val="both"/>
        <w:rPr>
          <w:rFonts w:cs="Arial"/>
          <w:color w:val="000000"/>
          <w:szCs w:val="22"/>
        </w:rPr>
      </w:pPr>
      <w:r>
        <w:rPr>
          <w:rFonts w:cs="Arial"/>
          <w:color w:val="000000"/>
          <w:szCs w:val="22"/>
        </w:rPr>
        <w:t xml:space="preserve">Welcome to the 2015 CATCo Reinsurance Opportunities Fund Ltd. (the “Company”) Annual Report. The Company has delivered another strong performance for the year ended </w:t>
      </w:r>
      <w:r w:rsidR="00390A6D">
        <w:rPr>
          <w:rFonts w:cs="Arial"/>
          <w:color w:val="000000"/>
          <w:szCs w:val="22"/>
        </w:rPr>
        <w:t xml:space="preserve">31 </w:t>
      </w:r>
      <w:r>
        <w:rPr>
          <w:rFonts w:cs="Arial"/>
          <w:color w:val="000000"/>
          <w:szCs w:val="22"/>
        </w:rPr>
        <w:t xml:space="preserve">December 2015, achieving a net return for Shareholders of 11.58 percent and exceeding the Company’s stated target annual net return of LIBOR plus 9 to 12 percent per annum. The Company outperformed the industry benchmark, the </w:t>
      </w:r>
      <w:proofErr w:type="spellStart"/>
      <w:r>
        <w:rPr>
          <w:rFonts w:cs="Arial"/>
          <w:color w:val="000000"/>
          <w:szCs w:val="22"/>
        </w:rPr>
        <w:t>Eurekahedge</w:t>
      </w:r>
      <w:proofErr w:type="spellEnd"/>
      <w:r>
        <w:rPr>
          <w:rFonts w:cs="Arial"/>
          <w:color w:val="000000"/>
          <w:szCs w:val="22"/>
        </w:rPr>
        <w:t xml:space="preserve"> ILS Advisors Index, by 7.31 percent. </w:t>
      </w:r>
    </w:p>
    <w:p w14:paraId="7EB5899D" w14:textId="77777777" w:rsidR="00EB50B1" w:rsidRDefault="00EB50B1" w:rsidP="00591815">
      <w:pPr>
        <w:tabs>
          <w:tab w:val="left" w:pos="9720"/>
        </w:tabs>
        <w:ind w:right="389"/>
        <w:jc w:val="both"/>
        <w:rPr>
          <w:rFonts w:cs="Arial"/>
          <w:color w:val="000000"/>
          <w:szCs w:val="22"/>
        </w:rPr>
      </w:pPr>
    </w:p>
    <w:p w14:paraId="1AAE4D88" w14:textId="09873108" w:rsidR="00EB50B1" w:rsidRDefault="00EB50B1" w:rsidP="00591815">
      <w:pPr>
        <w:tabs>
          <w:tab w:val="left" w:pos="9720"/>
        </w:tabs>
        <w:ind w:right="389"/>
        <w:jc w:val="both"/>
        <w:rPr>
          <w:rFonts w:cs="Arial"/>
          <w:color w:val="000000"/>
          <w:szCs w:val="22"/>
        </w:rPr>
      </w:pPr>
      <w:r>
        <w:rPr>
          <w:rFonts w:cs="Arial"/>
          <w:color w:val="000000"/>
          <w:szCs w:val="22"/>
        </w:rPr>
        <w:t xml:space="preserve">The 2015 net return was on track to equal last year’s NAV return of approximately 14 percent. However, in view of the UK flooding event that occurred in late December, and increased levels of uncertainty amongst the Company’s reinsurance clients, the Board decided it prudent to apply a conservative reserving approach for the event at year-end. The Investment Manager expects that a proportion of this reserve will be released during 2016. </w:t>
      </w:r>
    </w:p>
    <w:p w14:paraId="09A13BFE" w14:textId="77777777" w:rsidR="00EB50B1" w:rsidRDefault="00EB50B1" w:rsidP="00591815">
      <w:pPr>
        <w:tabs>
          <w:tab w:val="left" w:pos="9720"/>
        </w:tabs>
        <w:ind w:right="389"/>
        <w:jc w:val="both"/>
        <w:rPr>
          <w:rFonts w:cs="Arial"/>
          <w:color w:val="000000"/>
          <w:szCs w:val="22"/>
        </w:rPr>
      </w:pPr>
    </w:p>
    <w:p w14:paraId="2270A466" w14:textId="7C5222E9" w:rsidR="00EB50B1" w:rsidRDefault="00EB50B1" w:rsidP="00591815">
      <w:pPr>
        <w:tabs>
          <w:tab w:val="left" w:pos="9720"/>
        </w:tabs>
        <w:ind w:right="389"/>
        <w:jc w:val="both"/>
        <w:rPr>
          <w:rFonts w:cs="Arial"/>
          <w:color w:val="000000"/>
          <w:szCs w:val="22"/>
        </w:rPr>
      </w:pPr>
      <w:r>
        <w:rPr>
          <w:rFonts w:cs="Arial"/>
          <w:color w:val="000000"/>
          <w:szCs w:val="22"/>
        </w:rPr>
        <w:t xml:space="preserve">2015 represented the fifth full year of operations of continued solid performance with a share price total return of 18.1 percent, which includes the annual dividend (at a rate of LIBOR plus 5 percent of the </w:t>
      </w:r>
      <w:r w:rsidR="00390A6D">
        <w:rPr>
          <w:rFonts w:cs="Arial"/>
          <w:color w:val="000000"/>
          <w:szCs w:val="22"/>
        </w:rPr>
        <w:t>C</w:t>
      </w:r>
      <w:r>
        <w:rPr>
          <w:rFonts w:cs="Arial"/>
          <w:color w:val="000000"/>
          <w:szCs w:val="22"/>
        </w:rPr>
        <w:t xml:space="preserve">ompany’s NAV). The Company, the largest UK listed </w:t>
      </w:r>
      <w:proofErr w:type="spellStart"/>
      <w:r>
        <w:rPr>
          <w:rFonts w:cs="Arial"/>
          <w:color w:val="000000"/>
          <w:szCs w:val="22"/>
        </w:rPr>
        <w:t>collateralised</w:t>
      </w:r>
      <w:proofErr w:type="spellEnd"/>
      <w:r>
        <w:rPr>
          <w:rFonts w:cs="Arial"/>
          <w:color w:val="000000"/>
          <w:szCs w:val="22"/>
        </w:rPr>
        <w:t xml:space="preserve"> </w:t>
      </w:r>
      <w:r w:rsidR="008E60B8">
        <w:rPr>
          <w:rFonts w:cs="Arial"/>
          <w:color w:val="000000"/>
          <w:szCs w:val="22"/>
        </w:rPr>
        <w:t>retrocessional fund, forms part of the CATCo Group which now has a combined private and public fund capital base of approximately $3.2bn.</w:t>
      </w:r>
    </w:p>
    <w:p w14:paraId="772C7DEB" w14:textId="77777777" w:rsidR="008E60B8" w:rsidRDefault="008E60B8" w:rsidP="00591815">
      <w:pPr>
        <w:tabs>
          <w:tab w:val="left" w:pos="9720"/>
        </w:tabs>
        <w:ind w:right="389"/>
        <w:jc w:val="both"/>
        <w:rPr>
          <w:rFonts w:cs="Arial"/>
          <w:color w:val="000000"/>
          <w:szCs w:val="22"/>
        </w:rPr>
      </w:pPr>
    </w:p>
    <w:p w14:paraId="00E792CA" w14:textId="29DD5AB1" w:rsidR="008E60B8" w:rsidRDefault="008E60B8" w:rsidP="00591815">
      <w:pPr>
        <w:tabs>
          <w:tab w:val="left" w:pos="9720"/>
        </w:tabs>
        <w:ind w:right="389"/>
        <w:jc w:val="both"/>
        <w:rPr>
          <w:rFonts w:cs="Arial"/>
          <w:color w:val="000000"/>
          <w:szCs w:val="22"/>
        </w:rPr>
      </w:pPr>
      <w:r>
        <w:rPr>
          <w:rFonts w:cs="Arial"/>
          <w:color w:val="000000"/>
          <w:szCs w:val="22"/>
        </w:rPr>
        <w:t>In 2014, Side Pocket Investments were created as a result of U.S. severe convective storm events, amounting to around 3.5 percent of NAV. These loss reserves reduced during 2015 and as at 31 December 2015 amounted to 1 percent of NAV.</w:t>
      </w:r>
    </w:p>
    <w:p w14:paraId="7452DC61" w14:textId="77777777" w:rsidR="008E60B8" w:rsidRDefault="008E60B8" w:rsidP="00591815">
      <w:pPr>
        <w:tabs>
          <w:tab w:val="left" w:pos="9720"/>
        </w:tabs>
        <w:ind w:right="389"/>
        <w:jc w:val="both"/>
        <w:rPr>
          <w:rFonts w:cs="Arial"/>
          <w:color w:val="000000"/>
          <w:szCs w:val="22"/>
        </w:rPr>
      </w:pPr>
    </w:p>
    <w:p w14:paraId="2BED100B" w14:textId="76123F60" w:rsidR="008E60B8" w:rsidRDefault="008E60B8" w:rsidP="00591815">
      <w:pPr>
        <w:tabs>
          <w:tab w:val="left" w:pos="9720"/>
        </w:tabs>
        <w:ind w:right="389"/>
        <w:jc w:val="both"/>
        <w:rPr>
          <w:rFonts w:cs="Arial"/>
          <w:color w:val="000000"/>
          <w:szCs w:val="22"/>
        </w:rPr>
      </w:pPr>
      <w:r>
        <w:rPr>
          <w:rFonts w:cs="Arial"/>
          <w:color w:val="000000"/>
          <w:szCs w:val="22"/>
        </w:rPr>
        <w:lastRenderedPageBreak/>
        <w:t xml:space="preserve">Over the course of 2015 the </w:t>
      </w:r>
      <w:r w:rsidR="005757D8">
        <w:rPr>
          <w:rFonts w:cs="Arial"/>
          <w:color w:val="000000"/>
          <w:szCs w:val="22"/>
        </w:rPr>
        <w:t>Investment M</w:t>
      </w:r>
      <w:r>
        <w:rPr>
          <w:rFonts w:cs="Arial"/>
          <w:color w:val="000000"/>
          <w:szCs w:val="22"/>
        </w:rPr>
        <w:t>anager also released loss reserves connected with the 20</w:t>
      </w:r>
      <w:r w:rsidR="008358ED">
        <w:rPr>
          <w:rFonts w:cs="Arial"/>
          <w:color w:val="000000"/>
          <w:szCs w:val="22"/>
        </w:rPr>
        <w:t>12 Superstorm Sandy Side Pocket</w:t>
      </w:r>
      <w:r>
        <w:rPr>
          <w:rFonts w:cs="Arial"/>
          <w:color w:val="000000"/>
          <w:szCs w:val="22"/>
        </w:rPr>
        <w:t xml:space="preserve"> Investment, resulting in an additional NAV appreciation of 1 percent. The majority of the capital released from these Side Pocket Investments has been redeployed into new contracts. </w:t>
      </w:r>
    </w:p>
    <w:p w14:paraId="408D445F" w14:textId="77777777" w:rsidR="008E60B8" w:rsidRDefault="008E60B8" w:rsidP="00591815">
      <w:pPr>
        <w:tabs>
          <w:tab w:val="left" w:pos="9720"/>
        </w:tabs>
        <w:ind w:right="389"/>
        <w:jc w:val="both"/>
        <w:rPr>
          <w:rFonts w:cs="Arial"/>
          <w:color w:val="000000"/>
          <w:szCs w:val="22"/>
        </w:rPr>
      </w:pPr>
    </w:p>
    <w:p w14:paraId="2F4DF0A1" w14:textId="56B310A7" w:rsidR="008E60B8" w:rsidRDefault="008E60B8" w:rsidP="00591815">
      <w:pPr>
        <w:tabs>
          <w:tab w:val="left" w:pos="9720"/>
        </w:tabs>
        <w:ind w:right="389"/>
        <w:jc w:val="both"/>
        <w:rPr>
          <w:rFonts w:cs="Arial"/>
          <w:color w:val="000000"/>
          <w:szCs w:val="22"/>
        </w:rPr>
      </w:pPr>
      <w:r>
        <w:rPr>
          <w:rFonts w:cs="Arial"/>
          <w:color w:val="000000"/>
          <w:szCs w:val="22"/>
        </w:rPr>
        <w:t>On 8 December 2015, Markel Corporation completed the purchase of the majority of the assets of CATCo Investment Management Ltd</w:t>
      </w:r>
      <w:r w:rsidR="00390A6D">
        <w:rPr>
          <w:rFonts w:cs="Arial"/>
          <w:color w:val="000000"/>
          <w:szCs w:val="22"/>
        </w:rPr>
        <w:t>.</w:t>
      </w:r>
      <w:r>
        <w:rPr>
          <w:rFonts w:cs="Arial"/>
          <w:color w:val="000000"/>
          <w:szCs w:val="22"/>
        </w:rPr>
        <w:t xml:space="preserve">, the Company’s investment manager. The strength of the combined brands is reflected in the name of the Company’s new investment manager, Markel CATCo Investment Management Ltd. The Company enters 2016 with strong optimism thanks to continuing strong investor support and an expanding and dedicated client base. </w:t>
      </w:r>
    </w:p>
    <w:p w14:paraId="6CC0F9AB" w14:textId="77777777" w:rsidR="008E60B8" w:rsidRDefault="008E60B8" w:rsidP="00591815">
      <w:pPr>
        <w:tabs>
          <w:tab w:val="left" w:pos="9720"/>
        </w:tabs>
        <w:ind w:right="389"/>
        <w:jc w:val="both"/>
        <w:rPr>
          <w:rFonts w:cs="Arial"/>
          <w:color w:val="000000"/>
          <w:szCs w:val="22"/>
        </w:rPr>
      </w:pPr>
    </w:p>
    <w:p w14:paraId="423705BD" w14:textId="53E3FDCC" w:rsidR="008E60B8" w:rsidRDefault="008E60B8" w:rsidP="00591815">
      <w:pPr>
        <w:tabs>
          <w:tab w:val="left" w:pos="9720"/>
        </w:tabs>
        <w:ind w:right="389"/>
        <w:jc w:val="both"/>
        <w:rPr>
          <w:rFonts w:cs="Arial"/>
          <w:color w:val="000000"/>
          <w:szCs w:val="22"/>
        </w:rPr>
      </w:pPr>
      <w:r>
        <w:rPr>
          <w:rFonts w:cs="Arial"/>
          <w:color w:val="000000"/>
          <w:szCs w:val="22"/>
        </w:rPr>
        <w:t xml:space="preserve">Capital Raising </w:t>
      </w:r>
    </w:p>
    <w:p w14:paraId="6C8C68A7" w14:textId="77777777" w:rsidR="008E60B8" w:rsidRDefault="008E60B8" w:rsidP="00591815">
      <w:pPr>
        <w:tabs>
          <w:tab w:val="left" w:pos="9720"/>
        </w:tabs>
        <w:ind w:right="389"/>
        <w:jc w:val="both"/>
        <w:rPr>
          <w:rFonts w:cs="Arial"/>
          <w:color w:val="000000"/>
          <w:szCs w:val="22"/>
        </w:rPr>
      </w:pPr>
    </w:p>
    <w:p w14:paraId="6197BDEF" w14:textId="4EA18575" w:rsidR="008E60B8" w:rsidRDefault="008E60B8" w:rsidP="00591815">
      <w:pPr>
        <w:tabs>
          <w:tab w:val="left" w:pos="9720"/>
        </w:tabs>
        <w:ind w:right="389"/>
        <w:jc w:val="both"/>
        <w:rPr>
          <w:rFonts w:cs="Arial"/>
          <w:color w:val="000000"/>
          <w:szCs w:val="22"/>
        </w:rPr>
      </w:pPr>
      <w:r>
        <w:rPr>
          <w:rFonts w:cs="Arial"/>
          <w:color w:val="000000"/>
          <w:szCs w:val="22"/>
        </w:rPr>
        <w:t>Following strong demand from potential new investors and after consulting with existing Shareholders, the Board took the decision to raise additional capital in 2015. The exercise exceeded expectations and the Company successfully raised $88.44mn in October and a further $3.4mn in December from both new and existing investors</w:t>
      </w:r>
      <w:r w:rsidR="00737690">
        <w:rPr>
          <w:rFonts w:cs="Arial"/>
          <w:color w:val="000000"/>
          <w:szCs w:val="22"/>
        </w:rPr>
        <w:t>,</w:t>
      </w:r>
      <w:r>
        <w:rPr>
          <w:rFonts w:cs="Arial"/>
          <w:color w:val="000000"/>
          <w:szCs w:val="22"/>
        </w:rPr>
        <w:t xml:space="preserve"> issuing 91,835,018</w:t>
      </w:r>
      <w:r w:rsidR="00BD59AA">
        <w:rPr>
          <w:rFonts w:cs="Arial"/>
          <w:color w:val="000000"/>
          <w:szCs w:val="22"/>
        </w:rPr>
        <w:t xml:space="preserve"> new C Shares at a price of $1 per share. </w:t>
      </w:r>
    </w:p>
    <w:p w14:paraId="11F90E3C" w14:textId="77777777" w:rsidR="00BD59AA" w:rsidRDefault="00BD59AA" w:rsidP="00591815">
      <w:pPr>
        <w:tabs>
          <w:tab w:val="left" w:pos="9720"/>
        </w:tabs>
        <w:ind w:right="389"/>
        <w:jc w:val="both"/>
        <w:rPr>
          <w:rFonts w:cs="Arial"/>
          <w:color w:val="000000"/>
          <w:szCs w:val="22"/>
        </w:rPr>
      </w:pPr>
    </w:p>
    <w:p w14:paraId="1A3A21EC" w14:textId="3E7F65E3" w:rsidR="00BD59AA" w:rsidRDefault="00BD59AA" w:rsidP="00591815">
      <w:pPr>
        <w:tabs>
          <w:tab w:val="left" w:pos="9720"/>
        </w:tabs>
        <w:ind w:right="389"/>
        <w:jc w:val="both"/>
        <w:rPr>
          <w:rFonts w:cs="Arial"/>
          <w:color w:val="000000"/>
          <w:szCs w:val="22"/>
        </w:rPr>
      </w:pPr>
      <w:r>
        <w:rPr>
          <w:rFonts w:cs="Arial"/>
          <w:color w:val="000000"/>
          <w:szCs w:val="22"/>
        </w:rPr>
        <w:t xml:space="preserve">The additional capital was fully invested as of the 1 January reinsurance renewals, which has enabled the Investment Manager to meet the increased demand from reinsurance clients during this key renewal date. </w:t>
      </w:r>
    </w:p>
    <w:p w14:paraId="43340A64" w14:textId="77777777" w:rsidR="00BD59AA" w:rsidRDefault="00BD59AA" w:rsidP="00591815">
      <w:pPr>
        <w:tabs>
          <w:tab w:val="left" w:pos="9720"/>
        </w:tabs>
        <w:ind w:right="389"/>
        <w:jc w:val="both"/>
        <w:rPr>
          <w:rFonts w:cs="Arial"/>
          <w:color w:val="000000"/>
          <w:szCs w:val="22"/>
        </w:rPr>
      </w:pPr>
    </w:p>
    <w:p w14:paraId="38747AD9" w14:textId="1B751E76" w:rsidR="00BD59AA" w:rsidRDefault="00BD59AA" w:rsidP="00591815">
      <w:pPr>
        <w:tabs>
          <w:tab w:val="left" w:pos="9720"/>
        </w:tabs>
        <w:ind w:right="389"/>
        <w:jc w:val="both"/>
        <w:rPr>
          <w:rFonts w:cs="Arial"/>
          <w:color w:val="000000"/>
          <w:szCs w:val="22"/>
        </w:rPr>
      </w:pPr>
      <w:r>
        <w:rPr>
          <w:rFonts w:cs="Arial"/>
          <w:color w:val="000000"/>
          <w:szCs w:val="22"/>
        </w:rPr>
        <w:t xml:space="preserve">The separate share classification will remain until all Side Pocket Investments have either been released or deemed immaterial, limiting the new capital’s exposure to legacy losses. The Company has the flexibility to raise additional capital during 2016 should significant events occur or if new and attractive investment opportunities present themselves. Any further share placings under the Placing </w:t>
      </w:r>
      <w:proofErr w:type="spellStart"/>
      <w:r>
        <w:rPr>
          <w:rFonts w:cs="Arial"/>
          <w:color w:val="000000"/>
          <w:szCs w:val="22"/>
        </w:rPr>
        <w:t>Programme</w:t>
      </w:r>
      <w:proofErr w:type="spellEnd"/>
      <w:r>
        <w:rPr>
          <w:rFonts w:cs="Arial"/>
          <w:color w:val="000000"/>
          <w:szCs w:val="22"/>
        </w:rPr>
        <w:t>, which expires on 28 September 2016, will be issued at a premium to the latest published Net Asset Value per Ordinary Share to cover the associated costs and expenses.</w:t>
      </w:r>
    </w:p>
    <w:p w14:paraId="771E66B0" w14:textId="77777777" w:rsidR="00BD59AA" w:rsidRDefault="00BD59AA" w:rsidP="00591815">
      <w:pPr>
        <w:tabs>
          <w:tab w:val="left" w:pos="9720"/>
        </w:tabs>
        <w:ind w:right="389"/>
        <w:jc w:val="both"/>
        <w:rPr>
          <w:rFonts w:cs="Arial"/>
          <w:color w:val="000000"/>
          <w:szCs w:val="22"/>
        </w:rPr>
      </w:pPr>
    </w:p>
    <w:p w14:paraId="64565543" w14:textId="4A8F274F" w:rsidR="00BD59AA" w:rsidRDefault="00BD59AA" w:rsidP="00591815">
      <w:pPr>
        <w:tabs>
          <w:tab w:val="left" w:pos="9720"/>
        </w:tabs>
        <w:ind w:right="389"/>
        <w:jc w:val="both"/>
        <w:rPr>
          <w:rFonts w:cs="Arial"/>
          <w:color w:val="000000"/>
          <w:szCs w:val="22"/>
        </w:rPr>
      </w:pPr>
      <w:r>
        <w:rPr>
          <w:rFonts w:cs="Arial"/>
          <w:color w:val="000000"/>
          <w:szCs w:val="22"/>
        </w:rPr>
        <w:t>Dividend and Tender Offer</w:t>
      </w:r>
    </w:p>
    <w:p w14:paraId="5F11D7C2" w14:textId="77777777" w:rsidR="00BD59AA" w:rsidRDefault="00BD59AA" w:rsidP="00591815">
      <w:pPr>
        <w:tabs>
          <w:tab w:val="left" w:pos="9720"/>
        </w:tabs>
        <w:ind w:right="389"/>
        <w:jc w:val="both"/>
        <w:rPr>
          <w:rFonts w:cs="Arial"/>
          <w:color w:val="000000"/>
          <w:szCs w:val="22"/>
        </w:rPr>
      </w:pPr>
    </w:p>
    <w:p w14:paraId="70E3E8DF" w14:textId="3CB47B00" w:rsidR="00BD59AA" w:rsidRDefault="00BD59AA" w:rsidP="00591815">
      <w:pPr>
        <w:tabs>
          <w:tab w:val="left" w:pos="9720"/>
        </w:tabs>
        <w:ind w:right="389"/>
        <w:jc w:val="both"/>
        <w:rPr>
          <w:rFonts w:cs="Arial"/>
          <w:color w:val="000000"/>
          <w:szCs w:val="22"/>
        </w:rPr>
      </w:pPr>
      <w:r>
        <w:rPr>
          <w:rFonts w:cs="Arial"/>
          <w:color w:val="000000"/>
          <w:szCs w:val="22"/>
        </w:rPr>
        <w:t xml:space="preserve">In order to make an investment in the Company more attractive to a wider range of investors, the Board has introduced a policy under which is has the capability to implement a Return of Value Tender Offer at the end of each fiscal year. This is in addition to the annual dividend, which has a target annual distribution equal to LIBOR plus 5 percent of NAV. </w:t>
      </w:r>
    </w:p>
    <w:p w14:paraId="39C7AFEA" w14:textId="77777777" w:rsidR="00BD59AA" w:rsidRDefault="00BD59AA" w:rsidP="00591815">
      <w:pPr>
        <w:tabs>
          <w:tab w:val="left" w:pos="9720"/>
        </w:tabs>
        <w:ind w:right="389"/>
        <w:jc w:val="both"/>
        <w:rPr>
          <w:rFonts w:cs="Arial"/>
          <w:color w:val="000000"/>
          <w:szCs w:val="22"/>
        </w:rPr>
      </w:pPr>
    </w:p>
    <w:p w14:paraId="72DF846A" w14:textId="095DE54A" w:rsidR="00BD59AA" w:rsidRDefault="00E7708B" w:rsidP="00591815">
      <w:pPr>
        <w:tabs>
          <w:tab w:val="left" w:pos="9720"/>
        </w:tabs>
        <w:ind w:right="389"/>
        <w:jc w:val="both"/>
        <w:rPr>
          <w:rFonts w:cs="Arial"/>
          <w:color w:val="000000"/>
          <w:szCs w:val="22"/>
        </w:rPr>
      </w:pPr>
      <w:r>
        <w:rPr>
          <w:rFonts w:cs="Arial"/>
          <w:color w:val="000000"/>
          <w:szCs w:val="22"/>
        </w:rPr>
        <w:t xml:space="preserve">The Tender Offer will be offered at the Board’s discretion and only if the Company’s shares have been trading at a discount to the Net Asset Value per share as at 31 October in a particular year. No Return of Value Tender Offer was made in 2015. </w:t>
      </w:r>
    </w:p>
    <w:p w14:paraId="7ED3407D" w14:textId="77777777" w:rsidR="00E7708B" w:rsidRDefault="00E7708B" w:rsidP="00591815">
      <w:pPr>
        <w:tabs>
          <w:tab w:val="left" w:pos="9720"/>
        </w:tabs>
        <w:ind w:right="389"/>
        <w:jc w:val="both"/>
        <w:rPr>
          <w:rFonts w:cs="Arial"/>
          <w:color w:val="000000"/>
          <w:szCs w:val="22"/>
        </w:rPr>
      </w:pPr>
    </w:p>
    <w:p w14:paraId="7231EE51" w14:textId="2F723211" w:rsidR="00E7708B" w:rsidRDefault="00E7708B" w:rsidP="00591815">
      <w:pPr>
        <w:tabs>
          <w:tab w:val="left" w:pos="9720"/>
        </w:tabs>
        <w:ind w:right="389"/>
        <w:jc w:val="both"/>
        <w:rPr>
          <w:rFonts w:cs="Arial"/>
          <w:color w:val="000000"/>
          <w:szCs w:val="22"/>
        </w:rPr>
      </w:pPr>
      <w:r>
        <w:rPr>
          <w:rFonts w:cs="Arial"/>
          <w:color w:val="000000"/>
          <w:szCs w:val="22"/>
        </w:rPr>
        <w:t>An annual dividend of $0.06619 in respect of Ordinary Shares will be paid to Shareholders on 26 February 2016 as announced on 29 January 2016.</w:t>
      </w:r>
    </w:p>
    <w:p w14:paraId="4AF78BAB" w14:textId="77777777" w:rsidR="00E7708B" w:rsidRDefault="00E7708B" w:rsidP="00591815">
      <w:pPr>
        <w:tabs>
          <w:tab w:val="left" w:pos="9720"/>
        </w:tabs>
        <w:ind w:right="389"/>
        <w:jc w:val="both"/>
        <w:rPr>
          <w:rFonts w:cs="Arial"/>
          <w:color w:val="000000"/>
          <w:szCs w:val="22"/>
        </w:rPr>
      </w:pPr>
    </w:p>
    <w:p w14:paraId="15B602A1" w14:textId="5987FFEB" w:rsidR="00E7708B" w:rsidRDefault="00E7708B" w:rsidP="00591815">
      <w:pPr>
        <w:tabs>
          <w:tab w:val="left" w:pos="9720"/>
        </w:tabs>
        <w:ind w:right="389"/>
        <w:jc w:val="both"/>
        <w:rPr>
          <w:rFonts w:cs="Arial"/>
          <w:color w:val="000000"/>
          <w:szCs w:val="22"/>
        </w:rPr>
      </w:pPr>
      <w:r>
        <w:rPr>
          <w:rFonts w:cs="Arial"/>
          <w:color w:val="000000"/>
          <w:szCs w:val="22"/>
        </w:rPr>
        <w:t>Shareholders</w:t>
      </w:r>
    </w:p>
    <w:p w14:paraId="028F965C" w14:textId="77777777" w:rsidR="00E7708B" w:rsidRDefault="00E7708B" w:rsidP="00591815">
      <w:pPr>
        <w:tabs>
          <w:tab w:val="left" w:pos="9720"/>
        </w:tabs>
        <w:ind w:right="389"/>
        <w:jc w:val="both"/>
        <w:rPr>
          <w:rFonts w:cs="Arial"/>
          <w:color w:val="000000"/>
          <w:szCs w:val="22"/>
        </w:rPr>
      </w:pPr>
    </w:p>
    <w:p w14:paraId="78B5A47C" w14:textId="5AB8095E" w:rsidR="003E5764" w:rsidRPr="0067084F" w:rsidRDefault="00E7708B" w:rsidP="00591815">
      <w:pPr>
        <w:tabs>
          <w:tab w:val="left" w:pos="9720"/>
        </w:tabs>
        <w:ind w:right="389"/>
        <w:jc w:val="both"/>
        <w:rPr>
          <w:rFonts w:cs="Arial"/>
          <w:color w:val="000000"/>
          <w:szCs w:val="22"/>
        </w:rPr>
      </w:pPr>
      <w:r>
        <w:rPr>
          <w:rFonts w:cs="Arial"/>
          <w:color w:val="000000"/>
          <w:szCs w:val="22"/>
        </w:rPr>
        <w:t xml:space="preserve">I would like to thank Shareholders for their continued support throughout 2015 and increased support for 2016. In addition the Board greatly appreciates the hard work demonstrated by the Investment Management team during 2015 resulting in another successful year for the Company. I would also like to welcome Markel Corporation as the new owners of the Investment Manager. </w:t>
      </w:r>
    </w:p>
    <w:p w14:paraId="7F2182C8" w14:textId="77777777" w:rsidR="00455477" w:rsidRPr="003E5764" w:rsidRDefault="00455477" w:rsidP="00591815">
      <w:pPr>
        <w:tabs>
          <w:tab w:val="left" w:pos="9720"/>
        </w:tabs>
        <w:ind w:right="389"/>
        <w:jc w:val="both"/>
        <w:rPr>
          <w:rFonts w:cs="Arial"/>
          <w:szCs w:val="22"/>
        </w:rPr>
      </w:pPr>
    </w:p>
    <w:p w14:paraId="6B7424D3" w14:textId="77777777" w:rsidR="003E5764" w:rsidRPr="003E5764" w:rsidRDefault="003E5764" w:rsidP="00591815">
      <w:pPr>
        <w:tabs>
          <w:tab w:val="left" w:pos="9720"/>
        </w:tabs>
        <w:ind w:right="389"/>
        <w:jc w:val="both"/>
        <w:rPr>
          <w:rFonts w:cs="Arial"/>
          <w:szCs w:val="22"/>
        </w:rPr>
      </w:pPr>
      <w:r w:rsidRPr="003E5764">
        <w:rPr>
          <w:rFonts w:cs="Arial"/>
          <w:szCs w:val="22"/>
        </w:rPr>
        <w:t>Nigel Barton</w:t>
      </w:r>
    </w:p>
    <w:p w14:paraId="61B5B58D" w14:textId="77777777" w:rsidR="003E5764" w:rsidRPr="003E5764" w:rsidRDefault="003E5764" w:rsidP="00591815">
      <w:pPr>
        <w:tabs>
          <w:tab w:val="left" w:pos="9720"/>
        </w:tabs>
        <w:ind w:right="389"/>
        <w:jc w:val="both"/>
        <w:rPr>
          <w:rFonts w:cs="Arial"/>
          <w:szCs w:val="22"/>
        </w:rPr>
      </w:pPr>
      <w:r w:rsidRPr="003E5764">
        <w:rPr>
          <w:rFonts w:cs="Arial"/>
          <w:szCs w:val="22"/>
        </w:rPr>
        <w:t>Chairman,</w:t>
      </w:r>
    </w:p>
    <w:p w14:paraId="1302C8A7" w14:textId="77777777" w:rsidR="003E5764" w:rsidRPr="003E5764" w:rsidRDefault="003E5764" w:rsidP="00591815">
      <w:pPr>
        <w:tabs>
          <w:tab w:val="left" w:pos="9720"/>
        </w:tabs>
        <w:ind w:right="389"/>
        <w:jc w:val="both"/>
        <w:rPr>
          <w:rFonts w:cs="Arial"/>
          <w:szCs w:val="22"/>
        </w:rPr>
      </w:pPr>
      <w:r w:rsidRPr="003E5764">
        <w:rPr>
          <w:rFonts w:cs="Arial"/>
          <w:szCs w:val="22"/>
        </w:rPr>
        <w:t>CATCo Reinsurance Opportunities Fund Ltd.</w:t>
      </w:r>
    </w:p>
    <w:p w14:paraId="6CD86DC1" w14:textId="5DA454C8" w:rsidR="003E5764" w:rsidRPr="00455477" w:rsidRDefault="00455477" w:rsidP="00591815">
      <w:pPr>
        <w:tabs>
          <w:tab w:val="left" w:pos="9720"/>
        </w:tabs>
        <w:ind w:right="389"/>
        <w:jc w:val="both"/>
        <w:rPr>
          <w:rFonts w:cs="Arial"/>
          <w:i/>
          <w:szCs w:val="22"/>
        </w:rPr>
      </w:pPr>
      <w:r>
        <w:rPr>
          <w:rFonts w:cs="Arial"/>
          <w:szCs w:val="22"/>
        </w:rPr>
        <w:t>19 February 2016</w:t>
      </w:r>
    </w:p>
    <w:p w14:paraId="497E0D17" w14:textId="77777777" w:rsidR="00455477" w:rsidRDefault="00455477" w:rsidP="00591815">
      <w:pPr>
        <w:tabs>
          <w:tab w:val="left" w:pos="9720"/>
        </w:tabs>
        <w:ind w:right="389"/>
        <w:jc w:val="both"/>
        <w:rPr>
          <w:rFonts w:cs="Arial"/>
          <w:iCs/>
          <w:szCs w:val="22"/>
        </w:rPr>
      </w:pPr>
    </w:p>
    <w:p w14:paraId="4D4221FD" w14:textId="401E700B" w:rsidR="00556FE6" w:rsidRDefault="006B6242" w:rsidP="00591815">
      <w:pPr>
        <w:ind w:right="389"/>
        <w:jc w:val="both"/>
        <w:rPr>
          <w:rFonts w:cs="Arial"/>
          <w:b/>
          <w:caps/>
          <w:szCs w:val="22"/>
        </w:rPr>
      </w:pPr>
      <w:r>
        <w:rPr>
          <w:rFonts w:cs="Arial"/>
          <w:b/>
          <w:caps/>
          <w:szCs w:val="22"/>
        </w:rPr>
        <w:lastRenderedPageBreak/>
        <w:t>Manager</w:t>
      </w:r>
      <w:r w:rsidR="00455477">
        <w:rPr>
          <w:rFonts w:cs="Arial"/>
          <w:b/>
          <w:caps/>
          <w:szCs w:val="22"/>
        </w:rPr>
        <w:t>’</w:t>
      </w:r>
      <w:r w:rsidR="00556FE6" w:rsidRPr="00E93355">
        <w:rPr>
          <w:rFonts w:cs="Arial"/>
          <w:b/>
          <w:caps/>
          <w:szCs w:val="22"/>
        </w:rPr>
        <w:t>s Review</w:t>
      </w:r>
    </w:p>
    <w:p w14:paraId="766DCB53" w14:textId="77777777" w:rsidR="00590EE9" w:rsidRPr="00E93355" w:rsidRDefault="00590EE9" w:rsidP="00591815">
      <w:pPr>
        <w:ind w:right="389"/>
        <w:rPr>
          <w:rFonts w:cs="Arial"/>
          <w:szCs w:val="22"/>
        </w:rPr>
      </w:pPr>
    </w:p>
    <w:p w14:paraId="5E1B63E0" w14:textId="32BAC4FD" w:rsidR="00E7708B" w:rsidRDefault="00E7708B" w:rsidP="00591815">
      <w:pPr>
        <w:ind w:right="389"/>
        <w:rPr>
          <w:rFonts w:cs="Arial"/>
          <w:szCs w:val="22"/>
        </w:rPr>
      </w:pPr>
      <w:r>
        <w:rPr>
          <w:rFonts w:cs="Arial"/>
          <w:szCs w:val="22"/>
        </w:rPr>
        <w:t xml:space="preserve">In September 2015 CATCo Investment Management Ltd. agreed to sell </w:t>
      </w:r>
      <w:r w:rsidR="009667CB">
        <w:rPr>
          <w:rFonts w:cs="Arial"/>
          <w:szCs w:val="22"/>
        </w:rPr>
        <w:t>substantially all</w:t>
      </w:r>
      <w:r>
        <w:rPr>
          <w:rFonts w:cs="Arial"/>
          <w:szCs w:val="22"/>
        </w:rPr>
        <w:t xml:space="preserve"> of its assets to Markel Corporation (</w:t>
      </w:r>
      <w:r w:rsidR="002A259C">
        <w:rPr>
          <w:rFonts w:cs="Arial"/>
          <w:szCs w:val="22"/>
        </w:rPr>
        <w:t>“</w:t>
      </w:r>
      <w:r>
        <w:rPr>
          <w:rFonts w:cs="Arial"/>
          <w:szCs w:val="22"/>
        </w:rPr>
        <w:t>Markel</w:t>
      </w:r>
      <w:r w:rsidR="002A259C">
        <w:rPr>
          <w:rFonts w:cs="Arial"/>
          <w:szCs w:val="22"/>
        </w:rPr>
        <w:t>”</w:t>
      </w:r>
      <w:r>
        <w:rPr>
          <w:rFonts w:cs="Arial"/>
          <w:szCs w:val="22"/>
        </w:rPr>
        <w:t xml:space="preserve">), a U.S.-based financial holding company with a strong presence in specialty insurance and reinsurance products. The deal completed as planned on 8 December 2015 with the establishment of Markel CATCo Investment Management Ltd. (“the Investment Manager” or “Markel </w:t>
      </w:r>
      <w:proofErr w:type="spellStart"/>
      <w:r>
        <w:rPr>
          <w:rFonts w:cs="Arial"/>
          <w:szCs w:val="22"/>
        </w:rPr>
        <w:t>CATCo</w:t>
      </w:r>
      <w:proofErr w:type="spellEnd"/>
      <w:r w:rsidR="002A259C">
        <w:rPr>
          <w:rFonts w:cs="Arial"/>
          <w:szCs w:val="22"/>
        </w:rPr>
        <w:t xml:space="preserve"> IM</w:t>
      </w:r>
      <w:r>
        <w:rPr>
          <w:rFonts w:cs="Arial"/>
          <w:szCs w:val="22"/>
        </w:rPr>
        <w:t xml:space="preserve">”). Markel </w:t>
      </w:r>
      <w:proofErr w:type="spellStart"/>
      <w:r>
        <w:rPr>
          <w:rFonts w:cs="Arial"/>
          <w:szCs w:val="22"/>
        </w:rPr>
        <w:t>CATCo</w:t>
      </w:r>
      <w:proofErr w:type="spellEnd"/>
      <w:r>
        <w:rPr>
          <w:rFonts w:cs="Arial"/>
          <w:szCs w:val="22"/>
        </w:rPr>
        <w:t xml:space="preserve"> </w:t>
      </w:r>
      <w:r w:rsidR="002A259C">
        <w:rPr>
          <w:rFonts w:cs="Arial"/>
          <w:szCs w:val="22"/>
        </w:rPr>
        <w:t xml:space="preserve">IM </w:t>
      </w:r>
      <w:r>
        <w:rPr>
          <w:rFonts w:cs="Arial"/>
          <w:szCs w:val="22"/>
        </w:rPr>
        <w:t>was subsequently appointed by the Company as the new investment manager entity</w:t>
      </w:r>
      <w:r w:rsidR="009667CB">
        <w:rPr>
          <w:rFonts w:cs="Arial"/>
          <w:szCs w:val="22"/>
        </w:rPr>
        <w:t xml:space="preserve"> and serves as the investment manager for </w:t>
      </w:r>
      <w:r w:rsidR="00B8738D">
        <w:rPr>
          <w:rFonts w:cs="Arial"/>
          <w:szCs w:val="22"/>
        </w:rPr>
        <w:t xml:space="preserve">Markel </w:t>
      </w:r>
      <w:proofErr w:type="spellStart"/>
      <w:r w:rsidR="00B8738D">
        <w:rPr>
          <w:rFonts w:cs="Arial"/>
          <w:szCs w:val="22"/>
        </w:rPr>
        <w:t>CATCo</w:t>
      </w:r>
      <w:proofErr w:type="spellEnd"/>
      <w:r w:rsidR="00B8738D">
        <w:rPr>
          <w:rFonts w:cs="Arial"/>
          <w:szCs w:val="22"/>
        </w:rPr>
        <w:t xml:space="preserve"> Reinsurance Fund Ltd. and insurance manager for Markel </w:t>
      </w:r>
      <w:proofErr w:type="spellStart"/>
      <w:r w:rsidR="00B8738D">
        <w:rPr>
          <w:rFonts w:cs="Arial"/>
          <w:szCs w:val="22"/>
        </w:rPr>
        <w:t>CATCo</w:t>
      </w:r>
      <w:proofErr w:type="spellEnd"/>
      <w:r w:rsidR="00B8738D">
        <w:rPr>
          <w:rFonts w:cs="Arial"/>
          <w:szCs w:val="22"/>
        </w:rPr>
        <w:t xml:space="preserve"> Re Ltd. (collectively </w:t>
      </w:r>
      <w:r w:rsidR="002C0DFD">
        <w:rPr>
          <w:rFonts w:cs="Arial"/>
          <w:szCs w:val="22"/>
        </w:rPr>
        <w:t>“</w:t>
      </w:r>
      <w:r w:rsidR="002A259C">
        <w:rPr>
          <w:rFonts w:cs="Arial"/>
          <w:szCs w:val="22"/>
        </w:rPr>
        <w:t xml:space="preserve">Markel </w:t>
      </w:r>
      <w:proofErr w:type="spellStart"/>
      <w:r w:rsidR="002A259C">
        <w:rPr>
          <w:rFonts w:cs="Arial"/>
          <w:szCs w:val="22"/>
        </w:rPr>
        <w:t>CATCo</w:t>
      </w:r>
      <w:proofErr w:type="spellEnd"/>
      <w:r w:rsidR="002C0DFD">
        <w:rPr>
          <w:rFonts w:cs="Arial"/>
          <w:szCs w:val="22"/>
        </w:rPr>
        <w:t>”</w:t>
      </w:r>
      <w:r w:rsidR="002A259C">
        <w:rPr>
          <w:rFonts w:cs="Arial"/>
          <w:szCs w:val="22"/>
        </w:rPr>
        <w:t xml:space="preserve">). We believe Markel </w:t>
      </w:r>
      <w:proofErr w:type="spellStart"/>
      <w:r w:rsidR="002A259C">
        <w:rPr>
          <w:rFonts w:cs="Arial"/>
          <w:szCs w:val="22"/>
        </w:rPr>
        <w:t>CATCo</w:t>
      </w:r>
      <w:proofErr w:type="spellEnd"/>
      <w:r>
        <w:rPr>
          <w:rFonts w:cs="Arial"/>
          <w:szCs w:val="22"/>
        </w:rPr>
        <w:t xml:space="preserve"> offer</w:t>
      </w:r>
      <w:r w:rsidR="002A259C">
        <w:rPr>
          <w:rFonts w:cs="Arial"/>
          <w:szCs w:val="22"/>
        </w:rPr>
        <w:t>s</w:t>
      </w:r>
      <w:r>
        <w:rPr>
          <w:rFonts w:cs="Arial"/>
          <w:szCs w:val="22"/>
        </w:rPr>
        <w:t xml:space="preserve"> investors and clients extra financial support, scale and the opportunity to develop new products. </w:t>
      </w:r>
    </w:p>
    <w:p w14:paraId="44771636" w14:textId="77777777" w:rsidR="00E7708B" w:rsidRDefault="00E7708B" w:rsidP="00591815">
      <w:pPr>
        <w:ind w:right="389"/>
        <w:rPr>
          <w:rFonts w:cs="Arial"/>
          <w:szCs w:val="22"/>
        </w:rPr>
      </w:pPr>
    </w:p>
    <w:p w14:paraId="279BF155" w14:textId="699DE5ED" w:rsidR="00E7708B" w:rsidRDefault="00E7708B" w:rsidP="00591815">
      <w:pPr>
        <w:ind w:right="389"/>
        <w:rPr>
          <w:rFonts w:cs="Arial"/>
          <w:szCs w:val="22"/>
        </w:rPr>
      </w:pPr>
      <w:r>
        <w:rPr>
          <w:rFonts w:cs="Arial"/>
          <w:szCs w:val="22"/>
        </w:rPr>
        <w:t xml:space="preserve">Founded in 1930 and headquartered in Virginia, U.S., Markel is listed on the New York Stock Exchange (MKL). As at the date of this </w:t>
      </w:r>
      <w:r w:rsidR="0092040F">
        <w:rPr>
          <w:rFonts w:cs="Arial"/>
          <w:szCs w:val="22"/>
        </w:rPr>
        <w:t>report Markel has a</w:t>
      </w:r>
      <w:r>
        <w:rPr>
          <w:rFonts w:cs="Arial"/>
          <w:szCs w:val="22"/>
        </w:rPr>
        <w:t xml:space="preserve"> market </w:t>
      </w:r>
      <w:proofErr w:type="spellStart"/>
      <w:r>
        <w:rPr>
          <w:rFonts w:cs="Arial"/>
          <w:szCs w:val="22"/>
        </w:rPr>
        <w:t>capitalisation</w:t>
      </w:r>
      <w:proofErr w:type="spellEnd"/>
      <w:r>
        <w:rPr>
          <w:rFonts w:cs="Arial"/>
          <w:szCs w:val="22"/>
        </w:rPr>
        <w:t xml:space="preserve"> </w:t>
      </w:r>
      <w:r w:rsidR="0092040F">
        <w:rPr>
          <w:rFonts w:cs="Arial"/>
          <w:szCs w:val="22"/>
        </w:rPr>
        <w:t>of over $12bn and</w:t>
      </w:r>
      <w:r w:rsidR="002A259C">
        <w:rPr>
          <w:rFonts w:cs="Arial"/>
          <w:szCs w:val="22"/>
        </w:rPr>
        <w:t xml:space="preserve"> 2015</w:t>
      </w:r>
      <w:r w:rsidR="0092040F">
        <w:rPr>
          <w:rFonts w:cs="Arial"/>
          <w:szCs w:val="22"/>
        </w:rPr>
        <w:t xml:space="preserve"> operating revenues of more that $5bn. Over the past two decades it has significantly expanded both globally and by class of business. In </w:t>
      </w:r>
      <w:r w:rsidR="002A259C">
        <w:rPr>
          <w:rFonts w:cs="Arial"/>
          <w:szCs w:val="22"/>
        </w:rPr>
        <w:t>May 2013</w:t>
      </w:r>
      <w:r w:rsidR="0092040F">
        <w:rPr>
          <w:rFonts w:cs="Arial"/>
          <w:szCs w:val="22"/>
        </w:rPr>
        <w:t xml:space="preserve">, Markel increased </w:t>
      </w:r>
      <w:r w:rsidR="002A259C">
        <w:rPr>
          <w:rFonts w:cs="Arial"/>
          <w:szCs w:val="22"/>
        </w:rPr>
        <w:t xml:space="preserve">the scope of its business </w:t>
      </w:r>
      <w:r w:rsidR="0092040F">
        <w:rPr>
          <w:rFonts w:cs="Arial"/>
          <w:szCs w:val="22"/>
        </w:rPr>
        <w:t xml:space="preserve">by purchasing Bermuda based reinsurer </w:t>
      </w:r>
      <w:proofErr w:type="spellStart"/>
      <w:r w:rsidR="0092040F">
        <w:rPr>
          <w:rFonts w:cs="Arial"/>
          <w:szCs w:val="22"/>
        </w:rPr>
        <w:t>Alterra</w:t>
      </w:r>
      <w:proofErr w:type="spellEnd"/>
      <w:r w:rsidR="0092040F">
        <w:rPr>
          <w:rFonts w:cs="Arial"/>
          <w:szCs w:val="22"/>
        </w:rPr>
        <w:t xml:space="preserve"> Capital Holdings L</w:t>
      </w:r>
      <w:r w:rsidR="002A259C">
        <w:rPr>
          <w:rFonts w:cs="Arial"/>
          <w:szCs w:val="22"/>
        </w:rPr>
        <w:t>imited</w:t>
      </w:r>
      <w:r w:rsidR="0092040F">
        <w:rPr>
          <w:rFonts w:cs="Arial"/>
          <w:szCs w:val="22"/>
        </w:rPr>
        <w:t xml:space="preserve"> for $3.3bn.</w:t>
      </w:r>
    </w:p>
    <w:p w14:paraId="57F49775" w14:textId="77777777" w:rsidR="0092040F" w:rsidRDefault="0092040F" w:rsidP="00261BD5">
      <w:pPr>
        <w:ind w:right="391"/>
        <w:contextualSpacing/>
        <w:rPr>
          <w:rFonts w:cs="Arial"/>
          <w:szCs w:val="22"/>
        </w:rPr>
      </w:pPr>
    </w:p>
    <w:p w14:paraId="5D635B8A" w14:textId="09939A10" w:rsidR="0092040F" w:rsidRDefault="0092040F" w:rsidP="00261BD5">
      <w:pPr>
        <w:ind w:right="391"/>
        <w:contextualSpacing/>
        <w:rPr>
          <w:rFonts w:cs="Arial"/>
          <w:szCs w:val="22"/>
        </w:rPr>
      </w:pPr>
      <w:r>
        <w:rPr>
          <w:rFonts w:cs="Arial"/>
          <w:szCs w:val="22"/>
        </w:rPr>
        <w:t xml:space="preserve">In addition to sharing a similar culture and goals, </w:t>
      </w:r>
      <w:r w:rsidR="002A259C">
        <w:rPr>
          <w:rFonts w:cs="Arial"/>
          <w:szCs w:val="22"/>
        </w:rPr>
        <w:t>we believe Markel</w:t>
      </w:r>
      <w:r>
        <w:rPr>
          <w:rFonts w:cs="Arial"/>
          <w:szCs w:val="22"/>
        </w:rPr>
        <w:t xml:space="preserve"> offers the ability to access additional resource if it is needed. We are excited by the opportunities this union offers </w:t>
      </w:r>
      <w:r w:rsidR="002A259C">
        <w:rPr>
          <w:rFonts w:cs="Arial"/>
          <w:szCs w:val="22"/>
        </w:rPr>
        <w:t xml:space="preserve">Markel </w:t>
      </w:r>
      <w:proofErr w:type="spellStart"/>
      <w:r w:rsidR="002A259C">
        <w:rPr>
          <w:rFonts w:cs="Arial"/>
          <w:szCs w:val="22"/>
        </w:rPr>
        <w:t>CATCo’s</w:t>
      </w:r>
      <w:proofErr w:type="spellEnd"/>
      <w:r w:rsidR="002A259C">
        <w:rPr>
          <w:rFonts w:cs="Arial"/>
          <w:szCs w:val="22"/>
        </w:rPr>
        <w:t xml:space="preserve"> </w:t>
      </w:r>
      <w:r>
        <w:rPr>
          <w:rFonts w:cs="Arial"/>
          <w:szCs w:val="22"/>
        </w:rPr>
        <w:t xml:space="preserve">clients and investors with the combination of </w:t>
      </w:r>
      <w:r w:rsidR="00906FD9">
        <w:rPr>
          <w:rFonts w:cs="Arial"/>
          <w:szCs w:val="22"/>
        </w:rPr>
        <w:t xml:space="preserve">Markel </w:t>
      </w:r>
      <w:proofErr w:type="spellStart"/>
      <w:r>
        <w:rPr>
          <w:rFonts w:cs="Arial"/>
          <w:szCs w:val="22"/>
        </w:rPr>
        <w:t>CATCo’s</w:t>
      </w:r>
      <w:proofErr w:type="spellEnd"/>
      <w:r>
        <w:rPr>
          <w:rFonts w:cs="Arial"/>
          <w:szCs w:val="22"/>
        </w:rPr>
        <w:t xml:space="preserve"> ILS investment management and differentiated product innovation capabilities complementing Markel’s brand and global reach. </w:t>
      </w:r>
    </w:p>
    <w:p w14:paraId="161987D5" w14:textId="77777777" w:rsidR="0092040F" w:rsidRDefault="0092040F" w:rsidP="00261BD5">
      <w:pPr>
        <w:ind w:right="391"/>
        <w:contextualSpacing/>
        <w:rPr>
          <w:rFonts w:cs="Arial"/>
          <w:szCs w:val="22"/>
        </w:rPr>
      </w:pPr>
    </w:p>
    <w:p w14:paraId="0578E924" w14:textId="05BD5355" w:rsidR="0092040F" w:rsidRDefault="0092040F" w:rsidP="00261BD5">
      <w:pPr>
        <w:ind w:right="391"/>
        <w:contextualSpacing/>
        <w:rPr>
          <w:rFonts w:cs="Arial"/>
          <w:szCs w:val="22"/>
        </w:rPr>
      </w:pPr>
      <w:r>
        <w:rPr>
          <w:rFonts w:cs="Arial"/>
          <w:szCs w:val="22"/>
        </w:rPr>
        <w:t>2015 Significant Loss Events Update</w:t>
      </w:r>
    </w:p>
    <w:p w14:paraId="0A94B3AB" w14:textId="77777777" w:rsidR="0092040F" w:rsidRDefault="0092040F" w:rsidP="00261BD5">
      <w:pPr>
        <w:ind w:right="391"/>
        <w:contextualSpacing/>
        <w:rPr>
          <w:rFonts w:cs="Arial"/>
          <w:szCs w:val="22"/>
        </w:rPr>
      </w:pPr>
    </w:p>
    <w:p w14:paraId="4B329DCC" w14:textId="5DD6AC0A" w:rsidR="0092040F" w:rsidRDefault="0092040F" w:rsidP="00261BD5">
      <w:pPr>
        <w:ind w:right="391"/>
        <w:contextualSpacing/>
        <w:rPr>
          <w:rFonts w:cs="Arial"/>
          <w:szCs w:val="22"/>
        </w:rPr>
      </w:pPr>
      <w:r>
        <w:rPr>
          <w:rFonts w:cs="Arial"/>
          <w:szCs w:val="22"/>
        </w:rPr>
        <w:t xml:space="preserve">2015 saw the lowest level of catastrophe losses since 2009 with total economic losses amounting to approximately $90bn, of which approximately $27bn were insured, according to Munich Re. </w:t>
      </w:r>
    </w:p>
    <w:p w14:paraId="3A72B6AC" w14:textId="77777777" w:rsidR="0092040F" w:rsidRDefault="0092040F" w:rsidP="00261BD5">
      <w:pPr>
        <w:ind w:right="391"/>
        <w:contextualSpacing/>
        <w:rPr>
          <w:rFonts w:cs="Arial"/>
          <w:szCs w:val="22"/>
        </w:rPr>
      </w:pPr>
    </w:p>
    <w:p w14:paraId="0F92E762" w14:textId="0DBC59C0" w:rsidR="0092040F" w:rsidRDefault="0092040F" w:rsidP="00261BD5">
      <w:pPr>
        <w:ind w:right="391"/>
        <w:contextualSpacing/>
        <w:rPr>
          <w:rFonts w:cs="Arial"/>
          <w:szCs w:val="22"/>
        </w:rPr>
      </w:pPr>
      <w:r>
        <w:rPr>
          <w:rFonts w:cs="Arial"/>
          <w:szCs w:val="22"/>
        </w:rPr>
        <w:t xml:space="preserve">The largest insured loss from a natural catastrophe came from a series of winter storms which struck North-Eastern U.S. and Canada in February 2015, causing cumulative claims of $2.1bn. This could yet be surpassed by flooding in Northern England and Scotland during December 2015, with early estimates suggesting claims could be between $2.3bn and $3.3bn. As these estimates are significantly lower than the loss levels used to set the reserves at the end of December 2015, the Investment Manager is confident that a proportion of these reserves will be released during 2016. </w:t>
      </w:r>
    </w:p>
    <w:p w14:paraId="11C355B9" w14:textId="77777777" w:rsidR="0092040F" w:rsidRDefault="0092040F" w:rsidP="00261BD5">
      <w:pPr>
        <w:ind w:right="391"/>
        <w:contextualSpacing/>
        <w:rPr>
          <w:rFonts w:cs="Arial"/>
          <w:szCs w:val="22"/>
        </w:rPr>
      </w:pPr>
    </w:p>
    <w:p w14:paraId="0DCBCF6E" w14:textId="3A4CA734" w:rsidR="0092040F" w:rsidRDefault="0092040F" w:rsidP="00261BD5">
      <w:pPr>
        <w:ind w:right="391"/>
        <w:contextualSpacing/>
        <w:rPr>
          <w:rFonts w:cs="Arial"/>
          <w:szCs w:val="22"/>
        </w:rPr>
      </w:pPr>
      <w:r>
        <w:rPr>
          <w:rFonts w:cs="Arial"/>
          <w:szCs w:val="22"/>
        </w:rPr>
        <w:t>A series of large explosions at the Chinese port city of Tianjin on August 12</w:t>
      </w:r>
      <w:r w:rsidRPr="0092040F">
        <w:rPr>
          <w:rFonts w:cs="Arial"/>
          <w:szCs w:val="22"/>
          <w:vertAlign w:val="superscript"/>
        </w:rPr>
        <w:t>th</w:t>
      </w:r>
      <w:r>
        <w:rPr>
          <w:rFonts w:cs="Arial"/>
          <w:szCs w:val="22"/>
        </w:rPr>
        <w:t xml:space="preserve"> was the most costly manmade disaster of 2015. Industry claims of at least $2bn are expected. </w:t>
      </w:r>
    </w:p>
    <w:p w14:paraId="55A45E98" w14:textId="77777777" w:rsidR="00301CCF" w:rsidRDefault="00301CCF" w:rsidP="00261BD5">
      <w:pPr>
        <w:ind w:right="391"/>
        <w:contextualSpacing/>
        <w:rPr>
          <w:rFonts w:cs="Arial"/>
          <w:szCs w:val="22"/>
        </w:rPr>
      </w:pPr>
    </w:p>
    <w:p w14:paraId="233B6A6F" w14:textId="77777777" w:rsidR="0003299E" w:rsidRDefault="00301CCF" w:rsidP="00261BD5">
      <w:pPr>
        <w:ind w:right="391"/>
        <w:contextualSpacing/>
        <w:rPr>
          <w:rFonts w:cs="Arial"/>
          <w:szCs w:val="22"/>
        </w:rPr>
      </w:pPr>
      <w:r>
        <w:rPr>
          <w:rFonts w:cs="Arial"/>
          <w:szCs w:val="22"/>
        </w:rPr>
        <w:t xml:space="preserve">As a result of the relatively uneventful catastrophe year, portfolio losses from the 2015 events were approximately 4.25 percent due principally to the winter storm in the U.S. and Canada, the Tianjin explosion and the UK floods. The small Tianjin exposure was fully settled at 31 December 2015 and the conservative loss reserve put in place for the </w:t>
      </w:r>
      <w:r w:rsidR="0003299E">
        <w:rPr>
          <w:rFonts w:cs="Arial"/>
          <w:szCs w:val="22"/>
        </w:rPr>
        <w:t xml:space="preserve">UK floods is expected to be partly released during 2016 as the losses </w:t>
      </w:r>
      <w:proofErr w:type="spellStart"/>
      <w:r w:rsidR="0003299E">
        <w:rPr>
          <w:rFonts w:cs="Arial"/>
          <w:szCs w:val="22"/>
        </w:rPr>
        <w:t>materialise</w:t>
      </w:r>
      <w:proofErr w:type="spellEnd"/>
      <w:r w:rsidR="0003299E">
        <w:rPr>
          <w:rFonts w:cs="Arial"/>
          <w:szCs w:val="22"/>
        </w:rPr>
        <w:t>.</w:t>
      </w:r>
    </w:p>
    <w:p w14:paraId="6E538E61" w14:textId="77777777" w:rsidR="0003299E" w:rsidRDefault="0003299E" w:rsidP="00261BD5">
      <w:pPr>
        <w:ind w:right="391"/>
        <w:contextualSpacing/>
        <w:rPr>
          <w:rFonts w:cs="Arial"/>
          <w:szCs w:val="22"/>
        </w:rPr>
      </w:pPr>
    </w:p>
    <w:p w14:paraId="168A2297" w14:textId="77777777" w:rsidR="0003299E" w:rsidRDefault="0003299E" w:rsidP="00261BD5">
      <w:pPr>
        <w:ind w:right="391"/>
        <w:contextualSpacing/>
        <w:rPr>
          <w:rFonts w:cs="Arial"/>
          <w:szCs w:val="22"/>
        </w:rPr>
      </w:pPr>
      <w:r>
        <w:rPr>
          <w:rFonts w:cs="Arial"/>
          <w:szCs w:val="22"/>
        </w:rPr>
        <w:t>Outlook</w:t>
      </w:r>
    </w:p>
    <w:p w14:paraId="435CE8E0" w14:textId="77777777" w:rsidR="0003299E" w:rsidRDefault="0003299E" w:rsidP="00261BD5">
      <w:pPr>
        <w:ind w:right="391"/>
        <w:contextualSpacing/>
        <w:rPr>
          <w:rFonts w:cs="Arial"/>
          <w:szCs w:val="22"/>
        </w:rPr>
      </w:pPr>
    </w:p>
    <w:p w14:paraId="745EB3BF" w14:textId="77777777" w:rsidR="0003299E" w:rsidRDefault="0003299E" w:rsidP="00261BD5">
      <w:pPr>
        <w:ind w:right="391"/>
        <w:contextualSpacing/>
        <w:rPr>
          <w:rFonts w:cs="Arial"/>
          <w:szCs w:val="22"/>
        </w:rPr>
      </w:pPr>
      <w:r>
        <w:rPr>
          <w:rFonts w:cs="Arial"/>
          <w:szCs w:val="22"/>
        </w:rPr>
        <w:t xml:space="preserve">The Investment Manager has continued to build a robust and diversified investment portfolio for 2016, with a broad geographic spread and balanced exposure to differing risk perils. While the soft market presents challenges, it has also enabled the purchase of broader balance sheet protections for 2016, mainly in the form of ILWs, at a similar price year-on-year. </w:t>
      </w:r>
    </w:p>
    <w:p w14:paraId="7B4CACCF" w14:textId="77777777" w:rsidR="0003299E" w:rsidRDefault="0003299E" w:rsidP="00261BD5">
      <w:pPr>
        <w:ind w:right="391"/>
        <w:contextualSpacing/>
        <w:rPr>
          <w:rFonts w:cs="Arial"/>
          <w:szCs w:val="22"/>
        </w:rPr>
      </w:pPr>
    </w:p>
    <w:p w14:paraId="478E88E5" w14:textId="77777777" w:rsidR="0003299E" w:rsidRDefault="0003299E" w:rsidP="00261BD5">
      <w:pPr>
        <w:ind w:right="391"/>
        <w:contextualSpacing/>
        <w:rPr>
          <w:rFonts w:cs="Arial"/>
          <w:szCs w:val="22"/>
        </w:rPr>
      </w:pPr>
      <w:r>
        <w:rPr>
          <w:rFonts w:cs="Arial"/>
          <w:szCs w:val="22"/>
        </w:rPr>
        <w:t xml:space="preserve">It is expected that excess capacity in the reinsurance sector and the three-year absence of significant natural catastrophe losses will continue to exert downward pressure on traditional reinsurance pricing as we move into 2016. Property catastrophe rates on line were down 7 to 10 percent at 1 January 2016, although it is the opinion of Guy Carpenter that the rate of decline has moderated, particularly for U.S. property catastrophe risks. </w:t>
      </w:r>
    </w:p>
    <w:p w14:paraId="5C9E6EAE" w14:textId="77777777" w:rsidR="0003299E" w:rsidRDefault="0003299E" w:rsidP="00591815">
      <w:pPr>
        <w:ind w:right="389"/>
        <w:rPr>
          <w:rFonts w:cs="Arial"/>
          <w:szCs w:val="22"/>
        </w:rPr>
      </w:pPr>
    </w:p>
    <w:p w14:paraId="1CE5ADA9" w14:textId="77777777" w:rsidR="0003299E" w:rsidRDefault="0003299E" w:rsidP="00591815">
      <w:pPr>
        <w:ind w:right="389"/>
        <w:rPr>
          <w:rFonts w:cs="Arial"/>
          <w:szCs w:val="22"/>
        </w:rPr>
      </w:pPr>
      <w:r>
        <w:rPr>
          <w:rFonts w:cs="Arial"/>
          <w:szCs w:val="22"/>
        </w:rPr>
        <w:t xml:space="preserve">The Investment Manager will continue to practice underwriting discipline and prudent capital management and will look to take advantage of the challenging operating environment. The ability to further de-risk the portfolio will also be taken on an opportunistic basis. </w:t>
      </w:r>
    </w:p>
    <w:p w14:paraId="5246418B" w14:textId="614C30B7" w:rsidR="00E7708B" w:rsidRDefault="0003299E" w:rsidP="00591815">
      <w:pPr>
        <w:ind w:right="389"/>
        <w:rPr>
          <w:rFonts w:cs="Arial"/>
          <w:szCs w:val="22"/>
        </w:rPr>
      </w:pPr>
      <w:r>
        <w:rPr>
          <w:rFonts w:cs="Arial"/>
          <w:szCs w:val="22"/>
        </w:rPr>
        <w:t xml:space="preserve">  </w:t>
      </w:r>
    </w:p>
    <w:p w14:paraId="6D1E1786" w14:textId="77777777" w:rsidR="00E93355" w:rsidRPr="00E93355" w:rsidRDefault="00E93355" w:rsidP="00591815">
      <w:pPr>
        <w:ind w:right="389"/>
        <w:rPr>
          <w:rFonts w:cs="Arial"/>
          <w:szCs w:val="22"/>
        </w:rPr>
      </w:pPr>
      <w:r w:rsidRPr="00E93355">
        <w:rPr>
          <w:rFonts w:cs="Arial"/>
          <w:szCs w:val="22"/>
        </w:rPr>
        <w:t xml:space="preserve">Anthony Belisle </w:t>
      </w:r>
    </w:p>
    <w:p w14:paraId="367970EF" w14:textId="77777777" w:rsidR="00E93355" w:rsidRPr="00E93355" w:rsidRDefault="00E93355" w:rsidP="00591815">
      <w:pPr>
        <w:ind w:right="389"/>
        <w:rPr>
          <w:rFonts w:cs="Arial"/>
          <w:szCs w:val="22"/>
        </w:rPr>
      </w:pPr>
      <w:r w:rsidRPr="00E93355">
        <w:rPr>
          <w:rFonts w:cs="Arial"/>
          <w:szCs w:val="22"/>
        </w:rPr>
        <w:t>Chief Executive Officer</w:t>
      </w:r>
    </w:p>
    <w:p w14:paraId="6BEE4109" w14:textId="7CEC96B4" w:rsidR="000A71C8" w:rsidRDefault="00B8738D" w:rsidP="00591815">
      <w:pPr>
        <w:ind w:right="389"/>
        <w:rPr>
          <w:rFonts w:cs="Arial"/>
          <w:szCs w:val="22"/>
        </w:rPr>
      </w:pPr>
      <w:r>
        <w:rPr>
          <w:rFonts w:cs="Arial"/>
          <w:szCs w:val="22"/>
        </w:rPr>
        <w:t xml:space="preserve">Markel </w:t>
      </w:r>
      <w:proofErr w:type="spellStart"/>
      <w:r w:rsidR="00E93355" w:rsidRPr="00E93355">
        <w:rPr>
          <w:rFonts w:cs="Arial"/>
          <w:szCs w:val="22"/>
        </w:rPr>
        <w:t>CATCo</w:t>
      </w:r>
      <w:proofErr w:type="spellEnd"/>
      <w:r w:rsidR="00E93355" w:rsidRPr="00E93355">
        <w:rPr>
          <w:rFonts w:cs="Arial"/>
          <w:szCs w:val="22"/>
        </w:rPr>
        <w:t xml:space="preserve"> Investment Management Ltd.</w:t>
      </w:r>
    </w:p>
    <w:p w14:paraId="2E41E9A9" w14:textId="264894B8" w:rsidR="00E93355" w:rsidRPr="00E93355" w:rsidRDefault="00455477" w:rsidP="00591815">
      <w:pPr>
        <w:ind w:right="389"/>
        <w:rPr>
          <w:rFonts w:cs="Arial"/>
          <w:szCs w:val="22"/>
        </w:rPr>
      </w:pPr>
      <w:r>
        <w:rPr>
          <w:rFonts w:cs="Arial"/>
          <w:szCs w:val="22"/>
        </w:rPr>
        <w:t>19 February 2016</w:t>
      </w:r>
      <w:r w:rsidR="00E93355" w:rsidRPr="00E93355">
        <w:rPr>
          <w:rFonts w:cs="Arial"/>
          <w:szCs w:val="22"/>
        </w:rPr>
        <w:t xml:space="preserve"> </w:t>
      </w:r>
    </w:p>
    <w:p w14:paraId="3B788039" w14:textId="77777777" w:rsidR="00E014DD" w:rsidRPr="00E93355" w:rsidRDefault="00E014DD" w:rsidP="00125E7A">
      <w:pPr>
        <w:jc w:val="both"/>
        <w:rPr>
          <w:rFonts w:cs="Arial"/>
          <w:b/>
          <w:iCs/>
          <w:szCs w:val="22"/>
        </w:rPr>
      </w:pPr>
    </w:p>
    <w:p w14:paraId="63C7014A" w14:textId="77777777" w:rsidR="001A5BDB" w:rsidRPr="00C67685" w:rsidRDefault="001A5BDB" w:rsidP="00591815">
      <w:pPr>
        <w:widowControl w:val="0"/>
        <w:autoSpaceDE w:val="0"/>
        <w:autoSpaceDN w:val="0"/>
        <w:adjustRightInd w:val="0"/>
        <w:ind w:right="389"/>
        <w:jc w:val="both"/>
        <w:rPr>
          <w:rFonts w:cs="Arial"/>
          <w:b/>
          <w:bCs/>
          <w:szCs w:val="22"/>
        </w:rPr>
      </w:pPr>
    </w:p>
    <w:p w14:paraId="04602DE6" w14:textId="1350D724" w:rsidR="00E343B0" w:rsidRPr="00A217D6" w:rsidRDefault="001A5BDB" w:rsidP="00591815">
      <w:pPr>
        <w:widowControl w:val="0"/>
        <w:autoSpaceDE w:val="0"/>
        <w:autoSpaceDN w:val="0"/>
        <w:adjustRightInd w:val="0"/>
        <w:ind w:right="389"/>
        <w:jc w:val="both"/>
        <w:rPr>
          <w:rFonts w:cs="Arial"/>
          <w:b/>
          <w:bCs/>
          <w:color w:val="000000" w:themeColor="text1"/>
          <w:szCs w:val="22"/>
        </w:rPr>
      </w:pPr>
      <w:r w:rsidRPr="00A217D6">
        <w:rPr>
          <w:rFonts w:cs="Arial"/>
          <w:b/>
          <w:bCs/>
          <w:color w:val="000000" w:themeColor="text1"/>
          <w:szCs w:val="22"/>
        </w:rPr>
        <w:t>REVIEW OF BUSINESS</w:t>
      </w:r>
    </w:p>
    <w:p w14:paraId="78CD798A" w14:textId="35163418" w:rsidR="001A5BDB" w:rsidRPr="00A217D6" w:rsidRDefault="001A5BDB" w:rsidP="00591815">
      <w:pPr>
        <w:widowControl w:val="0"/>
        <w:autoSpaceDE w:val="0"/>
        <w:autoSpaceDN w:val="0"/>
        <w:adjustRightInd w:val="0"/>
        <w:ind w:right="389"/>
        <w:jc w:val="both"/>
        <w:rPr>
          <w:rFonts w:cs="Arial"/>
          <w:color w:val="000000" w:themeColor="text1"/>
          <w:szCs w:val="22"/>
        </w:rPr>
      </w:pPr>
      <w:r w:rsidRPr="00A217D6">
        <w:rPr>
          <w:rFonts w:cs="Arial"/>
          <w:color w:val="000000" w:themeColor="text1"/>
          <w:szCs w:val="22"/>
        </w:rPr>
        <w:t>A review of the Company's activities is given in the Chairman's Statement and</w:t>
      </w:r>
      <w:r w:rsidR="006B6242" w:rsidRPr="00A217D6">
        <w:rPr>
          <w:rFonts w:cs="Arial"/>
          <w:color w:val="000000" w:themeColor="text1"/>
          <w:szCs w:val="22"/>
        </w:rPr>
        <w:t xml:space="preserve"> in the Manager</w:t>
      </w:r>
      <w:r w:rsidR="00737690" w:rsidRPr="00A217D6">
        <w:rPr>
          <w:rFonts w:cs="Arial"/>
          <w:color w:val="000000" w:themeColor="text1"/>
          <w:szCs w:val="22"/>
        </w:rPr>
        <w:t>’</w:t>
      </w:r>
      <w:r w:rsidRPr="00A217D6">
        <w:rPr>
          <w:rFonts w:cs="Arial"/>
          <w:color w:val="000000" w:themeColor="text1"/>
          <w:szCs w:val="22"/>
        </w:rPr>
        <w:t>s Review. This includes a review of the business of the Company and its principal activities, and likely future developments of the business.</w:t>
      </w:r>
    </w:p>
    <w:p w14:paraId="7DBC8AAE" w14:textId="77777777" w:rsidR="001A5BDB" w:rsidRPr="00C42223" w:rsidRDefault="001A5BDB" w:rsidP="00591815">
      <w:pPr>
        <w:widowControl w:val="0"/>
        <w:autoSpaceDE w:val="0"/>
        <w:autoSpaceDN w:val="0"/>
        <w:adjustRightInd w:val="0"/>
        <w:ind w:right="389"/>
        <w:jc w:val="both"/>
        <w:rPr>
          <w:rFonts w:cs="Arial"/>
          <w:color w:val="FF0000"/>
          <w:szCs w:val="22"/>
        </w:rPr>
      </w:pPr>
      <w:r w:rsidRPr="00C42223">
        <w:rPr>
          <w:rFonts w:cs="Arial"/>
          <w:color w:val="FF0000"/>
          <w:szCs w:val="22"/>
        </w:rPr>
        <w:t> </w:t>
      </w:r>
    </w:p>
    <w:p w14:paraId="4521369D" w14:textId="77777777" w:rsidR="00BD19D6" w:rsidRPr="0076633B" w:rsidRDefault="001A5BDB" w:rsidP="00591815">
      <w:pPr>
        <w:widowControl w:val="0"/>
        <w:autoSpaceDE w:val="0"/>
        <w:autoSpaceDN w:val="0"/>
        <w:adjustRightInd w:val="0"/>
        <w:ind w:right="389"/>
        <w:jc w:val="both"/>
        <w:rPr>
          <w:rFonts w:cs="Arial"/>
          <w:b/>
          <w:bCs/>
          <w:color w:val="000000" w:themeColor="text1"/>
          <w:szCs w:val="22"/>
        </w:rPr>
      </w:pPr>
      <w:r w:rsidRPr="0076633B">
        <w:rPr>
          <w:rFonts w:cs="Arial"/>
          <w:b/>
          <w:bCs/>
          <w:color w:val="000000" w:themeColor="text1"/>
          <w:szCs w:val="22"/>
        </w:rPr>
        <w:t>Investment Objective</w:t>
      </w:r>
    </w:p>
    <w:p w14:paraId="2638F330" w14:textId="4F937338" w:rsidR="00BD19D6" w:rsidRPr="0076633B" w:rsidRDefault="00BD19D6" w:rsidP="00591815">
      <w:pPr>
        <w:widowControl w:val="0"/>
        <w:autoSpaceDE w:val="0"/>
        <w:autoSpaceDN w:val="0"/>
        <w:adjustRightInd w:val="0"/>
        <w:ind w:right="389"/>
        <w:jc w:val="both"/>
        <w:rPr>
          <w:rFonts w:cs="Arial"/>
          <w:b/>
          <w:bCs/>
          <w:color w:val="000000" w:themeColor="text1"/>
          <w:szCs w:val="22"/>
        </w:rPr>
      </w:pPr>
      <w:r w:rsidRPr="0076633B">
        <w:rPr>
          <w:rFonts w:cs="Arial"/>
          <w:color w:val="000000" w:themeColor="text1"/>
          <w:szCs w:val="22"/>
        </w:rPr>
        <w:t>The investment objective of the Company</w:t>
      </w:r>
      <w:r w:rsidR="00737690">
        <w:rPr>
          <w:rFonts w:cs="Arial"/>
          <w:color w:val="000000" w:themeColor="text1"/>
          <w:szCs w:val="22"/>
        </w:rPr>
        <w:t xml:space="preserve">, </w:t>
      </w:r>
      <w:proofErr w:type="spellStart"/>
      <w:r w:rsidR="00737690">
        <w:rPr>
          <w:rFonts w:cs="Arial"/>
          <w:color w:val="000000" w:themeColor="text1"/>
          <w:szCs w:val="22"/>
        </w:rPr>
        <w:t>CATCo</w:t>
      </w:r>
      <w:proofErr w:type="spellEnd"/>
      <w:r w:rsidR="00737690">
        <w:rPr>
          <w:rFonts w:cs="Arial"/>
          <w:color w:val="000000" w:themeColor="text1"/>
          <w:szCs w:val="22"/>
        </w:rPr>
        <w:t xml:space="preserve"> Reinsurance Fund (the “Master Fund”)</w:t>
      </w:r>
      <w:r w:rsidRPr="0076633B">
        <w:rPr>
          <w:rFonts w:cs="Arial"/>
          <w:color w:val="000000" w:themeColor="text1"/>
          <w:szCs w:val="22"/>
        </w:rPr>
        <w:t xml:space="preserve"> and </w:t>
      </w:r>
      <w:r w:rsidR="00737690">
        <w:rPr>
          <w:rFonts w:cs="Arial"/>
          <w:color w:val="000000" w:themeColor="text1"/>
          <w:szCs w:val="22"/>
        </w:rPr>
        <w:t xml:space="preserve">Markel </w:t>
      </w:r>
      <w:proofErr w:type="spellStart"/>
      <w:r w:rsidRPr="0076633B">
        <w:rPr>
          <w:rFonts w:cs="Arial"/>
          <w:color w:val="000000" w:themeColor="text1"/>
          <w:szCs w:val="22"/>
        </w:rPr>
        <w:t>CATCo</w:t>
      </w:r>
      <w:proofErr w:type="spellEnd"/>
      <w:r w:rsidRPr="0076633B">
        <w:rPr>
          <w:rFonts w:cs="Arial"/>
          <w:color w:val="000000" w:themeColor="text1"/>
          <w:szCs w:val="22"/>
        </w:rPr>
        <w:t xml:space="preserve"> Reinsurance Fund Ltd. (the “</w:t>
      </w:r>
      <w:r w:rsidR="00737690">
        <w:rPr>
          <w:rFonts w:cs="Arial"/>
          <w:color w:val="000000" w:themeColor="text1"/>
          <w:szCs w:val="22"/>
        </w:rPr>
        <w:t xml:space="preserve">Markel </w:t>
      </w:r>
      <w:proofErr w:type="spellStart"/>
      <w:r w:rsidR="00737690">
        <w:rPr>
          <w:rFonts w:cs="Arial"/>
          <w:color w:val="000000" w:themeColor="text1"/>
          <w:szCs w:val="22"/>
        </w:rPr>
        <w:t>CATCo</w:t>
      </w:r>
      <w:proofErr w:type="spellEnd"/>
      <w:r w:rsidR="00737690">
        <w:rPr>
          <w:rFonts w:cs="Arial"/>
          <w:color w:val="000000" w:themeColor="text1"/>
          <w:szCs w:val="22"/>
        </w:rPr>
        <w:t xml:space="preserve"> </w:t>
      </w:r>
      <w:r w:rsidRPr="0076633B">
        <w:rPr>
          <w:rFonts w:cs="Arial"/>
          <w:color w:val="000000" w:themeColor="text1"/>
          <w:szCs w:val="22"/>
        </w:rPr>
        <w:t xml:space="preserve">Master Fund”) is to give </w:t>
      </w:r>
      <w:r w:rsidR="00737690">
        <w:rPr>
          <w:rFonts w:cs="Arial"/>
          <w:color w:val="000000" w:themeColor="text1"/>
          <w:szCs w:val="22"/>
        </w:rPr>
        <w:t>their</w:t>
      </w:r>
      <w:r w:rsidR="00737690" w:rsidRPr="0076633B">
        <w:rPr>
          <w:rFonts w:cs="Arial"/>
          <w:color w:val="000000" w:themeColor="text1"/>
          <w:szCs w:val="22"/>
        </w:rPr>
        <w:t xml:space="preserve"> </w:t>
      </w:r>
      <w:r w:rsidRPr="0076633B">
        <w:rPr>
          <w:rFonts w:cs="Arial"/>
          <w:color w:val="000000" w:themeColor="text1"/>
          <w:szCs w:val="22"/>
        </w:rPr>
        <w:t xml:space="preserve">Shareholders the opportunity to participate in the returns from investments linked to catastrophe reinsurance risks, principally by investing in fully </w:t>
      </w:r>
      <w:proofErr w:type="spellStart"/>
      <w:r w:rsidRPr="0076633B">
        <w:rPr>
          <w:rFonts w:cs="Arial"/>
          <w:color w:val="000000" w:themeColor="text1"/>
          <w:szCs w:val="22"/>
        </w:rPr>
        <w:t>collateralised</w:t>
      </w:r>
      <w:proofErr w:type="spellEnd"/>
      <w:r w:rsidRPr="0076633B">
        <w:rPr>
          <w:rFonts w:cs="Arial"/>
          <w:color w:val="000000" w:themeColor="text1"/>
          <w:szCs w:val="22"/>
        </w:rPr>
        <w:t xml:space="preserve"> Reinsurance Agreements accessed by investments in Preference Shares of the Reinsurer, CATCo-Re Ltd.</w:t>
      </w:r>
      <w:r w:rsidR="00737690">
        <w:rPr>
          <w:rFonts w:cs="Arial"/>
          <w:color w:val="000000" w:themeColor="text1"/>
          <w:szCs w:val="22"/>
        </w:rPr>
        <w:t xml:space="preserve"> (for the year ended 31 December 2015, and, for future </w:t>
      </w:r>
      <w:r w:rsidR="00390A6D">
        <w:rPr>
          <w:rFonts w:cs="Arial"/>
          <w:color w:val="000000" w:themeColor="text1"/>
          <w:szCs w:val="22"/>
        </w:rPr>
        <w:t>y</w:t>
      </w:r>
      <w:r w:rsidR="00737690">
        <w:rPr>
          <w:rFonts w:cs="Arial"/>
          <w:color w:val="000000" w:themeColor="text1"/>
          <w:szCs w:val="22"/>
        </w:rPr>
        <w:t xml:space="preserve">ears, in preference shares of Markel </w:t>
      </w:r>
      <w:proofErr w:type="spellStart"/>
      <w:r w:rsidR="00737690">
        <w:rPr>
          <w:rFonts w:cs="Arial"/>
          <w:color w:val="000000" w:themeColor="text1"/>
          <w:szCs w:val="22"/>
        </w:rPr>
        <w:t>CATCo</w:t>
      </w:r>
      <w:proofErr w:type="spellEnd"/>
      <w:r w:rsidR="00737690">
        <w:rPr>
          <w:rFonts w:cs="Arial"/>
          <w:color w:val="000000" w:themeColor="text1"/>
          <w:szCs w:val="22"/>
        </w:rPr>
        <w:t xml:space="preserve"> Re Ltd. (the “Markel </w:t>
      </w:r>
      <w:proofErr w:type="spellStart"/>
      <w:r w:rsidR="00737690">
        <w:rPr>
          <w:rFonts w:cs="Arial"/>
          <w:color w:val="000000" w:themeColor="text1"/>
          <w:szCs w:val="22"/>
        </w:rPr>
        <w:t>CATCo</w:t>
      </w:r>
      <w:proofErr w:type="spellEnd"/>
      <w:r w:rsidR="00737690">
        <w:rPr>
          <w:rFonts w:cs="Arial"/>
          <w:color w:val="000000" w:themeColor="text1"/>
          <w:szCs w:val="22"/>
        </w:rPr>
        <w:t xml:space="preserve"> Reinsurer”).</w:t>
      </w:r>
      <w:r w:rsidRPr="0076633B">
        <w:rPr>
          <w:rFonts w:cs="Arial"/>
          <w:color w:val="000000" w:themeColor="text1"/>
          <w:szCs w:val="22"/>
        </w:rPr>
        <w:t xml:space="preserve"> The Company’s in</w:t>
      </w:r>
      <w:r w:rsidR="006776E5" w:rsidRPr="0076633B">
        <w:rPr>
          <w:rFonts w:cs="Arial"/>
          <w:color w:val="000000" w:themeColor="text1"/>
          <w:szCs w:val="22"/>
        </w:rPr>
        <w:t>vestment policy appears below</w:t>
      </w:r>
      <w:r w:rsidRPr="0076633B">
        <w:rPr>
          <w:rFonts w:cs="Arial"/>
          <w:color w:val="000000" w:themeColor="text1"/>
          <w:szCs w:val="22"/>
        </w:rPr>
        <w:t>, and the Manager</w:t>
      </w:r>
      <w:r w:rsidR="00737690">
        <w:rPr>
          <w:rFonts w:cs="Arial"/>
          <w:color w:val="000000" w:themeColor="text1"/>
          <w:szCs w:val="22"/>
        </w:rPr>
        <w:t>’</w:t>
      </w:r>
      <w:r w:rsidRPr="0076633B">
        <w:rPr>
          <w:rFonts w:cs="Arial"/>
          <w:color w:val="000000" w:themeColor="text1"/>
          <w:szCs w:val="22"/>
        </w:rPr>
        <w:t>s Review explains how the Company and the Master Fund have invested their assets with a view to spreading investment risk in accordance with the Company’s investment policy.</w:t>
      </w:r>
    </w:p>
    <w:p w14:paraId="71D63D38" w14:textId="77777777" w:rsidR="001A5BDB" w:rsidRPr="00C42223" w:rsidRDefault="001A5BDB" w:rsidP="00591815">
      <w:pPr>
        <w:widowControl w:val="0"/>
        <w:autoSpaceDE w:val="0"/>
        <w:autoSpaceDN w:val="0"/>
        <w:adjustRightInd w:val="0"/>
        <w:ind w:right="389"/>
        <w:jc w:val="both"/>
        <w:rPr>
          <w:rFonts w:cs="Arial"/>
          <w:b/>
          <w:bCs/>
          <w:color w:val="FF0000"/>
          <w:szCs w:val="22"/>
        </w:rPr>
      </w:pPr>
      <w:r w:rsidRPr="00C42223">
        <w:rPr>
          <w:rFonts w:cs="Arial"/>
          <w:b/>
          <w:bCs/>
          <w:color w:val="FF0000"/>
          <w:szCs w:val="22"/>
        </w:rPr>
        <w:t> </w:t>
      </w:r>
    </w:p>
    <w:p w14:paraId="42F783CE" w14:textId="77777777" w:rsidR="001A5BDB" w:rsidRPr="00A217D6" w:rsidRDefault="001A5BDB" w:rsidP="00591815">
      <w:pPr>
        <w:widowControl w:val="0"/>
        <w:autoSpaceDE w:val="0"/>
        <w:autoSpaceDN w:val="0"/>
        <w:adjustRightInd w:val="0"/>
        <w:ind w:right="389"/>
        <w:jc w:val="both"/>
        <w:rPr>
          <w:rFonts w:cs="Arial"/>
          <w:b/>
          <w:bCs/>
          <w:color w:val="000000" w:themeColor="text1"/>
          <w:szCs w:val="22"/>
        </w:rPr>
      </w:pPr>
      <w:r w:rsidRPr="00A217D6">
        <w:rPr>
          <w:rFonts w:cs="Arial"/>
          <w:b/>
          <w:bCs/>
          <w:color w:val="000000" w:themeColor="text1"/>
          <w:szCs w:val="22"/>
        </w:rPr>
        <w:t>Benchmark</w:t>
      </w:r>
    </w:p>
    <w:p w14:paraId="2C88566C" w14:textId="77777777" w:rsidR="001A5BDB" w:rsidRPr="00A217D6" w:rsidRDefault="001A5BDB" w:rsidP="00391350">
      <w:pPr>
        <w:widowControl w:val="0"/>
        <w:autoSpaceDE w:val="0"/>
        <w:autoSpaceDN w:val="0"/>
        <w:adjustRightInd w:val="0"/>
        <w:spacing w:after="240"/>
        <w:ind w:right="389"/>
        <w:jc w:val="both"/>
        <w:rPr>
          <w:rFonts w:cs="Arial"/>
          <w:color w:val="000000" w:themeColor="text1"/>
          <w:szCs w:val="22"/>
        </w:rPr>
      </w:pPr>
      <w:proofErr w:type="gramStart"/>
      <w:r w:rsidRPr="00A217D6">
        <w:rPr>
          <w:rFonts w:cs="Arial"/>
          <w:color w:val="000000" w:themeColor="text1"/>
          <w:szCs w:val="22"/>
        </w:rPr>
        <w:t>Eurekahedge Insurance Linked Securities index.</w:t>
      </w:r>
      <w:proofErr w:type="gramEnd"/>
      <w:r w:rsidRPr="00A217D6">
        <w:rPr>
          <w:rFonts w:cs="Arial"/>
          <w:color w:val="000000" w:themeColor="text1"/>
          <w:szCs w:val="22"/>
        </w:rPr>
        <w:t xml:space="preserve"> This index is not a benchmark used for investment performance measurement.</w:t>
      </w:r>
    </w:p>
    <w:p w14:paraId="056825E2" w14:textId="77777777" w:rsidR="001A5BDB" w:rsidRPr="0076633B" w:rsidRDefault="001A5BDB" w:rsidP="00591815">
      <w:pPr>
        <w:widowControl w:val="0"/>
        <w:autoSpaceDE w:val="0"/>
        <w:autoSpaceDN w:val="0"/>
        <w:adjustRightInd w:val="0"/>
        <w:ind w:right="389"/>
        <w:jc w:val="both"/>
        <w:rPr>
          <w:rFonts w:cs="Arial"/>
          <w:b/>
          <w:bCs/>
          <w:color w:val="000000" w:themeColor="text1"/>
          <w:szCs w:val="22"/>
        </w:rPr>
      </w:pPr>
      <w:r w:rsidRPr="0076633B">
        <w:rPr>
          <w:rFonts w:cs="Arial"/>
          <w:b/>
          <w:bCs/>
          <w:color w:val="000000" w:themeColor="text1"/>
          <w:szCs w:val="22"/>
        </w:rPr>
        <w:t>Investment Policy and Investment Strategy</w:t>
      </w:r>
    </w:p>
    <w:p w14:paraId="07820EDF" w14:textId="27488D5F" w:rsidR="001A5BDB" w:rsidRDefault="001A5BDB" w:rsidP="00261BD5">
      <w:pPr>
        <w:widowControl w:val="0"/>
        <w:autoSpaceDE w:val="0"/>
        <w:autoSpaceDN w:val="0"/>
        <w:adjustRightInd w:val="0"/>
        <w:spacing w:after="240"/>
        <w:ind w:right="391"/>
        <w:contextualSpacing/>
        <w:jc w:val="both"/>
        <w:rPr>
          <w:rFonts w:cs="Arial"/>
          <w:color w:val="000000" w:themeColor="text1"/>
          <w:szCs w:val="22"/>
        </w:rPr>
      </w:pPr>
      <w:r w:rsidRPr="0076633B">
        <w:rPr>
          <w:rFonts w:cs="Arial"/>
          <w:color w:val="000000" w:themeColor="text1"/>
          <w:szCs w:val="22"/>
        </w:rPr>
        <w:t xml:space="preserve">The Master Fund </w:t>
      </w:r>
      <w:r w:rsidR="0076633B" w:rsidRPr="0076633B">
        <w:rPr>
          <w:rFonts w:cs="Arial"/>
          <w:color w:val="000000" w:themeColor="text1"/>
          <w:szCs w:val="22"/>
        </w:rPr>
        <w:t>and the Markel CATCo Master Fund intend</w:t>
      </w:r>
      <w:r w:rsidRPr="0076633B">
        <w:rPr>
          <w:rFonts w:cs="Arial"/>
          <w:color w:val="000000" w:themeColor="text1"/>
          <w:szCs w:val="22"/>
        </w:rPr>
        <w:t xml:space="preserve"> to spread investment risk by seeking exposure to multiple non-correlated risk categories so as to endeavour to limit the amount of capital at risk with respect to a single catastrophic event.</w:t>
      </w:r>
    </w:p>
    <w:p w14:paraId="4DB26315" w14:textId="77777777" w:rsidR="00261BD5" w:rsidRPr="0076633B" w:rsidRDefault="00261BD5" w:rsidP="00261BD5">
      <w:pPr>
        <w:widowControl w:val="0"/>
        <w:autoSpaceDE w:val="0"/>
        <w:autoSpaceDN w:val="0"/>
        <w:adjustRightInd w:val="0"/>
        <w:spacing w:after="240"/>
        <w:ind w:right="391"/>
        <w:contextualSpacing/>
        <w:jc w:val="both"/>
        <w:rPr>
          <w:rFonts w:cs="Arial"/>
          <w:color w:val="000000" w:themeColor="text1"/>
          <w:szCs w:val="22"/>
        </w:rPr>
      </w:pPr>
    </w:p>
    <w:p w14:paraId="2381243B" w14:textId="2C40AE6C" w:rsidR="001A5BDB" w:rsidRDefault="001A5BDB" w:rsidP="00261BD5">
      <w:pPr>
        <w:widowControl w:val="0"/>
        <w:autoSpaceDE w:val="0"/>
        <w:autoSpaceDN w:val="0"/>
        <w:adjustRightInd w:val="0"/>
        <w:spacing w:after="240"/>
        <w:ind w:right="391"/>
        <w:contextualSpacing/>
        <w:jc w:val="both"/>
        <w:rPr>
          <w:rFonts w:cs="Arial"/>
          <w:color w:val="000000" w:themeColor="text1"/>
          <w:szCs w:val="22"/>
        </w:rPr>
      </w:pPr>
      <w:r w:rsidRPr="0076633B">
        <w:rPr>
          <w:rFonts w:cs="Arial"/>
          <w:color w:val="000000" w:themeColor="text1"/>
          <w:szCs w:val="22"/>
        </w:rPr>
        <w:t>The Master Fund</w:t>
      </w:r>
      <w:r w:rsidR="0076633B" w:rsidRPr="0076633B">
        <w:rPr>
          <w:rFonts w:cs="Arial"/>
          <w:color w:val="000000" w:themeColor="text1"/>
          <w:szCs w:val="22"/>
        </w:rPr>
        <w:t xml:space="preserve"> and </w:t>
      </w:r>
      <w:r w:rsidR="00737690">
        <w:rPr>
          <w:rFonts w:cs="Arial"/>
          <w:color w:val="000000" w:themeColor="text1"/>
          <w:szCs w:val="22"/>
        </w:rPr>
        <w:t xml:space="preserve">the </w:t>
      </w:r>
      <w:r w:rsidR="0076633B" w:rsidRPr="0076633B">
        <w:rPr>
          <w:rFonts w:cs="Arial"/>
          <w:color w:val="000000" w:themeColor="text1"/>
          <w:szCs w:val="22"/>
        </w:rPr>
        <w:t>Markel CATCo Master Fund intend</w:t>
      </w:r>
      <w:r w:rsidRPr="0076633B">
        <w:rPr>
          <w:rFonts w:cs="Arial"/>
          <w:color w:val="000000" w:themeColor="text1"/>
          <w:szCs w:val="22"/>
        </w:rPr>
        <w:t xml:space="preserve"> that:</w:t>
      </w:r>
    </w:p>
    <w:p w14:paraId="4F8FFD10" w14:textId="77777777" w:rsidR="00261BD5" w:rsidRPr="0076633B" w:rsidRDefault="00261BD5" w:rsidP="00261BD5">
      <w:pPr>
        <w:widowControl w:val="0"/>
        <w:autoSpaceDE w:val="0"/>
        <w:autoSpaceDN w:val="0"/>
        <w:adjustRightInd w:val="0"/>
        <w:spacing w:after="240"/>
        <w:ind w:right="391"/>
        <w:contextualSpacing/>
        <w:jc w:val="both"/>
        <w:rPr>
          <w:rFonts w:cs="Arial"/>
          <w:color w:val="000000" w:themeColor="text1"/>
          <w:szCs w:val="22"/>
        </w:rPr>
      </w:pPr>
    </w:p>
    <w:p w14:paraId="2C57AD26" w14:textId="66B7F8AB" w:rsidR="001A5BDB" w:rsidRDefault="001A5BDB" w:rsidP="00261BD5">
      <w:pPr>
        <w:widowControl w:val="0"/>
        <w:autoSpaceDE w:val="0"/>
        <w:autoSpaceDN w:val="0"/>
        <w:adjustRightInd w:val="0"/>
        <w:spacing w:after="240"/>
        <w:ind w:right="391"/>
        <w:contextualSpacing/>
        <w:jc w:val="both"/>
        <w:rPr>
          <w:rFonts w:cs="Arial"/>
          <w:color w:val="000000" w:themeColor="text1"/>
          <w:szCs w:val="22"/>
        </w:rPr>
      </w:pPr>
      <w:r w:rsidRPr="0076633B">
        <w:rPr>
          <w:rFonts w:cs="Arial"/>
          <w:color w:val="000000" w:themeColor="text1"/>
          <w:szCs w:val="22"/>
        </w:rPr>
        <w:t xml:space="preserve">• </w:t>
      </w:r>
      <w:proofErr w:type="gramStart"/>
      <w:r w:rsidRPr="0076633B">
        <w:rPr>
          <w:rFonts w:cs="Arial"/>
          <w:color w:val="000000" w:themeColor="text1"/>
          <w:szCs w:val="22"/>
        </w:rPr>
        <w:t>no</w:t>
      </w:r>
      <w:proofErr w:type="gramEnd"/>
      <w:r w:rsidRPr="0076633B">
        <w:rPr>
          <w:rFonts w:cs="Arial"/>
          <w:color w:val="000000" w:themeColor="text1"/>
          <w:szCs w:val="22"/>
        </w:rPr>
        <w:t xml:space="preserve"> more than 20 percent of </w:t>
      </w:r>
      <w:r w:rsidR="00737690">
        <w:rPr>
          <w:rFonts w:cs="Arial"/>
          <w:color w:val="000000" w:themeColor="text1"/>
          <w:szCs w:val="22"/>
        </w:rPr>
        <w:t xml:space="preserve">their respective </w:t>
      </w:r>
      <w:r w:rsidRPr="0076633B">
        <w:rPr>
          <w:rFonts w:cs="Arial"/>
          <w:color w:val="000000" w:themeColor="text1"/>
          <w:szCs w:val="22"/>
        </w:rPr>
        <w:t>capital will be exposed to a single catastrophic event;</w:t>
      </w:r>
    </w:p>
    <w:p w14:paraId="61EC1FE2" w14:textId="77777777" w:rsidR="00261BD5" w:rsidRPr="0076633B" w:rsidRDefault="00261BD5" w:rsidP="00261BD5">
      <w:pPr>
        <w:widowControl w:val="0"/>
        <w:autoSpaceDE w:val="0"/>
        <w:autoSpaceDN w:val="0"/>
        <w:adjustRightInd w:val="0"/>
        <w:spacing w:after="240"/>
        <w:ind w:right="391"/>
        <w:contextualSpacing/>
        <w:jc w:val="both"/>
        <w:rPr>
          <w:rFonts w:cs="Arial"/>
          <w:color w:val="000000" w:themeColor="text1"/>
          <w:szCs w:val="22"/>
        </w:rPr>
      </w:pPr>
    </w:p>
    <w:p w14:paraId="3A9A49BF" w14:textId="7F780922" w:rsidR="001A5BDB" w:rsidRDefault="0076633B" w:rsidP="00261BD5">
      <w:pPr>
        <w:widowControl w:val="0"/>
        <w:autoSpaceDE w:val="0"/>
        <w:autoSpaceDN w:val="0"/>
        <w:adjustRightInd w:val="0"/>
        <w:spacing w:after="240"/>
        <w:ind w:right="391"/>
        <w:contextualSpacing/>
        <w:jc w:val="both"/>
        <w:rPr>
          <w:rFonts w:cs="Arial"/>
          <w:color w:val="000000" w:themeColor="text1"/>
          <w:szCs w:val="22"/>
        </w:rPr>
      </w:pPr>
      <w:r w:rsidRPr="0076633B">
        <w:rPr>
          <w:rFonts w:cs="Arial"/>
          <w:color w:val="000000" w:themeColor="text1"/>
          <w:szCs w:val="22"/>
        </w:rPr>
        <w:t>• their respective</w:t>
      </w:r>
      <w:r w:rsidR="001A5BDB" w:rsidRPr="0076633B">
        <w:rPr>
          <w:rFonts w:cs="Arial"/>
          <w:color w:val="000000" w:themeColor="text1"/>
          <w:szCs w:val="22"/>
        </w:rPr>
        <w:t xml:space="preserve"> capital will only be exposed to catastrophic events at loss levels that have not occurred more than twice in the past 40 years on a trended loss estimate basis, unless otherwise approved by the Board of Directors of the Master Fund</w:t>
      </w:r>
      <w:r w:rsidRPr="0076633B">
        <w:rPr>
          <w:rFonts w:cs="Arial"/>
          <w:color w:val="000000" w:themeColor="text1"/>
          <w:szCs w:val="22"/>
        </w:rPr>
        <w:t xml:space="preserve"> or the Markel CATCo Master Fund, as appropriate</w:t>
      </w:r>
      <w:r w:rsidR="001A5BDB" w:rsidRPr="0076633B">
        <w:rPr>
          <w:rFonts w:cs="Arial"/>
          <w:color w:val="000000" w:themeColor="text1"/>
          <w:szCs w:val="22"/>
        </w:rPr>
        <w:t>;</w:t>
      </w:r>
    </w:p>
    <w:p w14:paraId="3A900F79" w14:textId="77777777" w:rsidR="00261BD5" w:rsidRPr="0076633B" w:rsidRDefault="00261BD5" w:rsidP="00261BD5">
      <w:pPr>
        <w:widowControl w:val="0"/>
        <w:autoSpaceDE w:val="0"/>
        <w:autoSpaceDN w:val="0"/>
        <w:adjustRightInd w:val="0"/>
        <w:spacing w:after="240"/>
        <w:ind w:right="391"/>
        <w:contextualSpacing/>
        <w:jc w:val="both"/>
        <w:rPr>
          <w:rFonts w:cs="Arial"/>
          <w:color w:val="000000" w:themeColor="text1"/>
          <w:szCs w:val="22"/>
        </w:rPr>
      </w:pPr>
    </w:p>
    <w:p w14:paraId="4C0BEE0A" w14:textId="2B928677" w:rsidR="001A5BDB" w:rsidRDefault="001A5BDB" w:rsidP="00261BD5">
      <w:pPr>
        <w:widowControl w:val="0"/>
        <w:autoSpaceDE w:val="0"/>
        <w:autoSpaceDN w:val="0"/>
        <w:adjustRightInd w:val="0"/>
        <w:spacing w:after="240"/>
        <w:ind w:right="391"/>
        <w:contextualSpacing/>
        <w:jc w:val="both"/>
        <w:rPr>
          <w:rFonts w:cs="Arial"/>
          <w:color w:val="000000" w:themeColor="text1"/>
          <w:szCs w:val="22"/>
        </w:rPr>
      </w:pPr>
      <w:r w:rsidRPr="0076633B">
        <w:rPr>
          <w:rFonts w:cs="Arial"/>
          <w:color w:val="000000" w:themeColor="text1"/>
          <w:szCs w:val="22"/>
        </w:rPr>
        <w:t xml:space="preserve">• </w:t>
      </w:r>
      <w:proofErr w:type="gramStart"/>
      <w:r w:rsidR="0076633B" w:rsidRPr="0076633B">
        <w:rPr>
          <w:rFonts w:cs="Arial"/>
          <w:color w:val="000000" w:themeColor="text1"/>
          <w:szCs w:val="22"/>
        </w:rPr>
        <w:t>their</w:t>
      </w:r>
      <w:proofErr w:type="gramEnd"/>
      <w:r w:rsidR="0076633B" w:rsidRPr="0076633B">
        <w:rPr>
          <w:rFonts w:cs="Arial"/>
          <w:color w:val="000000" w:themeColor="text1"/>
          <w:szCs w:val="22"/>
        </w:rPr>
        <w:t xml:space="preserve"> respective capital </w:t>
      </w:r>
      <w:r w:rsidRPr="0076633B">
        <w:rPr>
          <w:rFonts w:cs="Arial"/>
          <w:color w:val="000000" w:themeColor="text1"/>
          <w:szCs w:val="22"/>
        </w:rPr>
        <w:t>will be exposed to aviation and marine (including offshore energy) losses caused by catastrophes; and</w:t>
      </w:r>
    </w:p>
    <w:p w14:paraId="43AE5DCA" w14:textId="77777777" w:rsidR="00261BD5" w:rsidRPr="0076633B" w:rsidRDefault="00261BD5" w:rsidP="00261BD5">
      <w:pPr>
        <w:widowControl w:val="0"/>
        <w:autoSpaceDE w:val="0"/>
        <w:autoSpaceDN w:val="0"/>
        <w:adjustRightInd w:val="0"/>
        <w:spacing w:after="240"/>
        <w:ind w:right="391"/>
        <w:contextualSpacing/>
        <w:jc w:val="both"/>
        <w:rPr>
          <w:rFonts w:cs="Arial"/>
          <w:color w:val="000000" w:themeColor="text1"/>
          <w:szCs w:val="22"/>
        </w:rPr>
      </w:pPr>
    </w:p>
    <w:p w14:paraId="00B7E4AE" w14:textId="454D5F43" w:rsidR="001A5BDB" w:rsidRPr="0076633B" w:rsidRDefault="0076633B" w:rsidP="00261BD5">
      <w:pPr>
        <w:widowControl w:val="0"/>
        <w:autoSpaceDE w:val="0"/>
        <w:autoSpaceDN w:val="0"/>
        <w:adjustRightInd w:val="0"/>
        <w:spacing w:after="240"/>
        <w:ind w:right="391"/>
        <w:contextualSpacing/>
        <w:jc w:val="both"/>
        <w:rPr>
          <w:rFonts w:cs="Arial"/>
          <w:color w:val="000000" w:themeColor="text1"/>
          <w:szCs w:val="22"/>
        </w:rPr>
      </w:pPr>
      <w:r w:rsidRPr="0076633B">
        <w:rPr>
          <w:rFonts w:cs="Arial"/>
          <w:color w:val="000000" w:themeColor="text1"/>
          <w:szCs w:val="22"/>
        </w:rPr>
        <w:t xml:space="preserve">• </w:t>
      </w:r>
      <w:proofErr w:type="gramStart"/>
      <w:r w:rsidRPr="0076633B">
        <w:rPr>
          <w:rFonts w:cs="Arial"/>
          <w:color w:val="000000" w:themeColor="text1"/>
          <w:szCs w:val="22"/>
        </w:rPr>
        <w:t>at</w:t>
      </w:r>
      <w:proofErr w:type="gramEnd"/>
      <w:r w:rsidRPr="0076633B">
        <w:rPr>
          <w:rFonts w:cs="Arial"/>
          <w:color w:val="000000" w:themeColor="text1"/>
          <w:szCs w:val="22"/>
        </w:rPr>
        <w:t xml:space="preserve"> least 50 percent of their</w:t>
      </w:r>
      <w:r w:rsidR="001A5BDB" w:rsidRPr="0076633B">
        <w:rPr>
          <w:rFonts w:cs="Arial"/>
          <w:color w:val="000000" w:themeColor="text1"/>
          <w:szCs w:val="22"/>
        </w:rPr>
        <w:t xml:space="preserve"> </w:t>
      </w:r>
      <w:r w:rsidR="00737690">
        <w:rPr>
          <w:rFonts w:cs="Arial"/>
          <w:color w:val="000000" w:themeColor="text1"/>
          <w:szCs w:val="22"/>
        </w:rPr>
        <w:t xml:space="preserve">respective </w:t>
      </w:r>
      <w:r w:rsidR="001A5BDB" w:rsidRPr="0076633B">
        <w:rPr>
          <w:rFonts w:cs="Arial"/>
          <w:color w:val="000000" w:themeColor="text1"/>
          <w:szCs w:val="22"/>
        </w:rPr>
        <w:t>capital will be exposed to residential and commercial property losses.</w:t>
      </w:r>
    </w:p>
    <w:p w14:paraId="29CCA208" w14:textId="0FEC1D38" w:rsidR="00BD19D6" w:rsidRPr="0076633B" w:rsidRDefault="0076633B" w:rsidP="00261BD5">
      <w:pPr>
        <w:pStyle w:val="BodyText"/>
        <w:kinsoku w:val="0"/>
        <w:overflowPunct w:val="0"/>
        <w:ind w:right="391"/>
        <w:contextualSpacing/>
        <w:rPr>
          <w:rFonts w:cs="Arial"/>
          <w:color w:val="000000" w:themeColor="text1"/>
          <w:spacing w:val="0"/>
          <w:sz w:val="22"/>
          <w:szCs w:val="22"/>
        </w:rPr>
      </w:pPr>
      <w:r w:rsidRPr="0076633B">
        <w:rPr>
          <w:rFonts w:cs="Arial"/>
          <w:color w:val="000000" w:themeColor="text1"/>
          <w:spacing w:val="0"/>
          <w:sz w:val="22"/>
          <w:szCs w:val="22"/>
        </w:rPr>
        <w:t>At 31 December 2015</w:t>
      </w:r>
      <w:r w:rsidR="00BD19D6" w:rsidRPr="0076633B">
        <w:rPr>
          <w:rFonts w:cs="Arial"/>
          <w:color w:val="000000" w:themeColor="text1"/>
          <w:spacing w:val="0"/>
          <w:sz w:val="22"/>
          <w:szCs w:val="22"/>
        </w:rPr>
        <w:t>, the Portfolio of Investments reﬂects the stated guidelines as each of the reinsurance arrangements entered into by the Reinsurer contain several non-correlated pillars of risk and pro</w:t>
      </w:r>
      <w:r w:rsidRPr="0076633B">
        <w:rPr>
          <w:rFonts w:cs="Arial"/>
          <w:color w:val="000000" w:themeColor="text1"/>
          <w:spacing w:val="0"/>
          <w:sz w:val="22"/>
          <w:szCs w:val="22"/>
        </w:rPr>
        <w:t>vides a portfolio exposure to 50</w:t>
      </w:r>
      <w:r w:rsidR="00BD19D6" w:rsidRPr="0076633B">
        <w:rPr>
          <w:rFonts w:cs="Arial"/>
          <w:color w:val="000000" w:themeColor="text1"/>
          <w:spacing w:val="0"/>
          <w:sz w:val="22"/>
          <w:szCs w:val="22"/>
        </w:rPr>
        <w:t xml:space="preserve"> diversiﬁed risk pillars.</w:t>
      </w:r>
    </w:p>
    <w:p w14:paraId="2A70D6F0" w14:textId="77777777" w:rsidR="00BD19D6" w:rsidRPr="0076633B" w:rsidRDefault="00BD19D6" w:rsidP="00261BD5">
      <w:pPr>
        <w:pStyle w:val="BodyText"/>
        <w:kinsoku w:val="0"/>
        <w:overflowPunct w:val="0"/>
        <w:ind w:left="392" w:right="391"/>
        <w:contextualSpacing/>
        <w:rPr>
          <w:rFonts w:cs="Arial"/>
          <w:color w:val="000000" w:themeColor="text1"/>
          <w:spacing w:val="0"/>
          <w:sz w:val="22"/>
          <w:szCs w:val="22"/>
        </w:rPr>
      </w:pPr>
    </w:p>
    <w:p w14:paraId="45F285D9" w14:textId="77777777" w:rsidR="00BD19D6" w:rsidRPr="0076633B" w:rsidRDefault="00BD19D6" w:rsidP="00261BD5">
      <w:pPr>
        <w:pStyle w:val="BodyText"/>
        <w:kinsoku w:val="0"/>
        <w:overflowPunct w:val="0"/>
        <w:ind w:right="391"/>
        <w:contextualSpacing/>
        <w:rPr>
          <w:rFonts w:cs="Arial"/>
          <w:color w:val="000000" w:themeColor="text1"/>
          <w:spacing w:val="0"/>
          <w:sz w:val="22"/>
          <w:szCs w:val="22"/>
        </w:rPr>
      </w:pPr>
      <w:r w:rsidRPr="0076633B">
        <w:rPr>
          <w:rFonts w:cs="Arial"/>
          <w:color w:val="000000" w:themeColor="text1"/>
          <w:spacing w:val="0"/>
          <w:sz w:val="22"/>
          <w:szCs w:val="22"/>
        </w:rPr>
        <w:t>When investing, the Company’s policy is to move freely between different risk perils as opportunities arise. There are no limits to geographical or sector exposures, except as stated above, but these are reported to, and monitored by, the Board of Directors in order to ensure that adequate diversiﬁcation is achieved.</w:t>
      </w:r>
    </w:p>
    <w:p w14:paraId="0405B110" w14:textId="77777777" w:rsidR="00BD19D6" w:rsidRPr="0076633B" w:rsidRDefault="00BD19D6" w:rsidP="00261BD5">
      <w:pPr>
        <w:pStyle w:val="BodyText"/>
        <w:kinsoku w:val="0"/>
        <w:overflowPunct w:val="0"/>
        <w:spacing w:before="5"/>
        <w:ind w:right="391"/>
        <w:contextualSpacing/>
        <w:rPr>
          <w:rFonts w:cs="Arial"/>
          <w:color w:val="000000" w:themeColor="text1"/>
          <w:spacing w:val="0"/>
          <w:sz w:val="22"/>
          <w:szCs w:val="22"/>
        </w:rPr>
      </w:pPr>
    </w:p>
    <w:p w14:paraId="696658B9" w14:textId="77777777" w:rsidR="00BD19D6" w:rsidRPr="0076633B" w:rsidRDefault="00BD19D6" w:rsidP="00261BD5">
      <w:pPr>
        <w:pStyle w:val="BodyText"/>
        <w:kinsoku w:val="0"/>
        <w:overflowPunct w:val="0"/>
        <w:ind w:right="391"/>
        <w:contextualSpacing/>
        <w:rPr>
          <w:rFonts w:cs="Arial"/>
          <w:color w:val="000000" w:themeColor="text1"/>
          <w:spacing w:val="0"/>
          <w:sz w:val="22"/>
          <w:szCs w:val="22"/>
        </w:rPr>
      </w:pPr>
      <w:r w:rsidRPr="0076633B">
        <w:rPr>
          <w:rFonts w:cs="Arial"/>
          <w:color w:val="000000" w:themeColor="text1"/>
          <w:spacing w:val="0"/>
          <w:sz w:val="22"/>
          <w:szCs w:val="22"/>
        </w:rPr>
        <w:t>While there is a comparative index for the purpose of measuring performance, no attention is paid to the composition of this index when constructing the portfolio and the composition of the portfolio is likely to vary substantially from that of the index. A short term view is taken and there may be periods when the Net Asset Value per Share declines both in absolute terms and relative to the comparative index.</w:t>
      </w:r>
    </w:p>
    <w:p w14:paraId="1666ADF7" w14:textId="77777777" w:rsidR="00BD19D6" w:rsidRPr="00C42223" w:rsidRDefault="00BD19D6" w:rsidP="00591815">
      <w:pPr>
        <w:pStyle w:val="BodyText"/>
        <w:kinsoku w:val="0"/>
        <w:overflowPunct w:val="0"/>
        <w:ind w:left="392" w:right="389"/>
        <w:rPr>
          <w:color w:val="FF0000"/>
        </w:rPr>
      </w:pPr>
    </w:p>
    <w:p w14:paraId="7C2CA0C3" w14:textId="77777777" w:rsidR="001A5BDB" w:rsidRPr="00A217D6" w:rsidRDefault="001A5BDB" w:rsidP="00591815">
      <w:pPr>
        <w:widowControl w:val="0"/>
        <w:autoSpaceDE w:val="0"/>
        <w:autoSpaceDN w:val="0"/>
        <w:adjustRightInd w:val="0"/>
        <w:ind w:right="389"/>
        <w:jc w:val="both"/>
        <w:rPr>
          <w:rFonts w:cs="Arial"/>
          <w:b/>
          <w:bCs/>
          <w:color w:val="000000" w:themeColor="text1"/>
          <w:szCs w:val="22"/>
        </w:rPr>
      </w:pPr>
      <w:r w:rsidRPr="00A217D6">
        <w:rPr>
          <w:rFonts w:cs="Arial"/>
          <w:b/>
          <w:bCs/>
          <w:color w:val="000000" w:themeColor="text1"/>
          <w:szCs w:val="22"/>
        </w:rPr>
        <w:t>Capital Structure and Voting Rights</w:t>
      </w:r>
    </w:p>
    <w:p w14:paraId="57205658" w14:textId="53C3A024" w:rsidR="001A5BDB" w:rsidRPr="00A217D6" w:rsidRDefault="005757D8" w:rsidP="00591815">
      <w:pPr>
        <w:widowControl w:val="0"/>
        <w:autoSpaceDE w:val="0"/>
        <w:autoSpaceDN w:val="0"/>
        <w:adjustRightInd w:val="0"/>
        <w:spacing w:after="240"/>
        <w:ind w:right="389"/>
        <w:jc w:val="both"/>
        <w:rPr>
          <w:rFonts w:cs="Arial"/>
          <w:color w:val="000000" w:themeColor="text1"/>
          <w:szCs w:val="22"/>
        </w:rPr>
      </w:pPr>
      <w:r w:rsidRPr="00A217D6">
        <w:rPr>
          <w:rFonts w:cs="Arial"/>
          <w:color w:val="000000" w:themeColor="text1"/>
          <w:szCs w:val="22"/>
        </w:rPr>
        <w:t xml:space="preserve">273,224,673 </w:t>
      </w:r>
      <w:r w:rsidR="001A5BDB" w:rsidRPr="00A217D6">
        <w:rPr>
          <w:rFonts w:cs="Arial"/>
          <w:color w:val="000000" w:themeColor="text1"/>
          <w:szCs w:val="22"/>
        </w:rPr>
        <w:t>Ordinary Shares of $0.0001 par value each entitled to</w:t>
      </w:r>
      <w:r w:rsidR="00BD19D6" w:rsidRPr="00A217D6">
        <w:rPr>
          <w:rFonts w:cs="Arial"/>
          <w:color w:val="000000" w:themeColor="text1"/>
          <w:szCs w:val="22"/>
        </w:rPr>
        <w:t xml:space="preserve"> one vote as at 1 </w:t>
      </w:r>
      <w:r w:rsidRPr="00A217D6">
        <w:rPr>
          <w:rFonts w:cs="Arial"/>
          <w:color w:val="000000" w:themeColor="text1"/>
          <w:szCs w:val="22"/>
        </w:rPr>
        <w:t xml:space="preserve">January </w:t>
      </w:r>
      <w:r w:rsidR="00BD19D6" w:rsidRPr="00A217D6">
        <w:rPr>
          <w:rFonts w:cs="Arial"/>
          <w:color w:val="000000" w:themeColor="text1"/>
          <w:szCs w:val="22"/>
        </w:rPr>
        <w:t>201</w:t>
      </w:r>
      <w:r w:rsidRPr="00A217D6">
        <w:rPr>
          <w:rFonts w:cs="Arial"/>
          <w:color w:val="000000" w:themeColor="text1"/>
          <w:szCs w:val="22"/>
        </w:rPr>
        <w:t>6</w:t>
      </w:r>
      <w:r w:rsidR="001A5BDB" w:rsidRPr="00A217D6">
        <w:rPr>
          <w:rFonts w:cs="Arial"/>
          <w:color w:val="000000" w:themeColor="text1"/>
          <w:szCs w:val="22"/>
        </w:rPr>
        <w:t>.</w:t>
      </w:r>
      <w:r w:rsidRPr="00A217D6">
        <w:rPr>
          <w:rFonts w:cs="Arial"/>
          <w:color w:val="000000" w:themeColor="text1"/>
          <w:szCs w:val="22"/>
        </w:rPr>
        <w:t xml:space="preserve"> On 2 November 2015, the Company issued 88,435,018 C Shares, and a further 3,400,000 C Shares on 7 December 2015, resulting in a total of 91,835,018 C Shares as at 1 January 2016.</w:t>
      </w:r>
    </w:p>
    <w:p w14:paraId="44489151" w14:textId="77777777" w:rsidR="001A5BDB" w:rsidRPr="00A217D6" w:rsidRDefault="001A5BDB" w:rsidP="00591815">
      <w:pPr>
        <w:widowControl w:val="0"/>
        <w:autoSpaceDE w:val="0"/>
        <w:autoSpaceDN w:val="0"/>
        <w:adjustRightInd w:val="0"/>
        <w:ind w:right="389"/>
        <w:jc w:val="both"/>
        <w:rPr>
          <w:rFonts w:cs="Arial"/>
          <w:b/>
          <w:bCs/>
          <w:color w:val="000000" w:themeColor="text1"/>
          <w:szCs w:val="22"/>
        </w:rPr>
      </w:pPr>
      <w:r w:rsidRPr="00A217D6">
        <w:rPr>
          <w:rFonts w:cs="Arial"/>
          <w:b/>
          <w:bCs/>
          <w:color w:val="000000" w:themeColor="text1"/>
          <w:szCs w:val="22"/>
        </w:rPr>
        <w:t>Total Assets and Net Asset Value</w:t>
      </w:r>
    </w:p>
    <w:p w14:paraId="2EFBB368" w14:textId="09443530" w:rsidR="001A5BDB" w:rsidRPr="00A217D6" w:rsidRDefault="00107902" w:rsidP="00591815">
      <w:pPr>
        <w:widowControl w:val="0"/>
        <w:autoSpaceDE w:val="0"/>
        <w:autoSpaceDN w:val="0"/>
        <w:adjustRightInd w:val="0"/>
        <w:ind w:right="389"/>
        <w:jc w:val="both"/>
        <w:rPr>
          <w:rFonts w:cs="Arial"/>
          <w:color w:val="000000" w:themeColor="text1"/>
          <w:szCs w:val="22"/>
        </w:rPr>
      </w:pPr>
      <w:r w:rsidRPr="00A217D6">
        <w:rPr>
          <w:rFonts w:cs="Arial"/>
          <w:color w:val="000000" w:themeColor="text1"/>
          <w:szCs w:val="22"/>
        </w:rPr>
        <w:t>At 31 December 2015</w:t>
      </w:r>
      <w:r w:rsidR="001A5BDB" w:rsidRPr="00A217D6">
        <w:rPr>
          <w:rFonts w:cs="Arial"/>
          <w:color w:val="000000" w:themeColor="text1"/>
          <w:szCs w:val="22"/>
        </w:rPr>
        <w:t>, the Company had Total Assets of $</w:t>
      </w:r>
      <w:r w:rsidR="005757D8" w:rsidRPr="00A217D6">
        <w:rPr>
          <w:rFonts w:cs="Arial"/>
          <w:color w:val="000000" w:themeColor="text1"/>
          <w:szCs w:val="22"/>
        </w:rPr>
        <w:t>437.1mn</w:t>
      </w:r>
      <w:r w:rsidR="001A5BDB" w:rsidRPr="00A217D6">
        <w:rPr>
          <w:rFonts w:cs="Arial"/>
          <w:color w:val="000000" w:themeColor="text1"/>
          <w:szCs w:val="22"/>
        </w:rPr>
        <w:t xml:space="preserve"> and a Net Asset V</w:t>
      </w:r>
      <w:r w:rsidR="00ED4E93" w:rsidRPr="00A217D6">
        <w:rPr>
          <w:rFonts w:cs="Arial"/>
          <w:color w:val="000000" w:themeColor="text1"/>
          <w:szCs w:val="22"/>
        </w:rPr>
        <w:t>alue per Ordinary Share of $1.</w:t>
      </w:r>
      <w:r w:rsidR="005757D8" w:rsidRPr="00A217D6">
        <w:rPr>
          <w:rFonts w:cs="Arial"/>
          <w:color w:val="000000" w:themeColor="text1"/>
          <w:szCs w:val="22"/>
        </w:rPr>
        <w:t>270</w:t>
      </w:r>
      <w:r w:rsidR="004B4346" w:rsidRPr="00A217D6">
        <w:rPr>
          <w:rFonts w:cs="Arial"/>
          <w:color w:val="000000" w:themeColor="text1"/>
          <w:szCs w:val="22"/>
        </w:rPr>
        <w:t>5</w:t>
      </w:r>
      <w:r w:rsidR="001A5BDB" w:rsidRPr="00A217D6">
        <w:rPr>
          <w:rFonts w:cs="Arial"/>
          <w:color w:val="000000" w:themeColor="text1"/>
          <w:szCs w:val="22"/>
        </w:rPr>
        <w:t>.</w:t>
      </w:r>
    </w:p>
    <w:p w14:paraId="091E749A" w14:textId="77777777" w:rsidR="001A5BDB" w:rsidRPr="00C42223" w:rsidRDefault="001A5BDB" w:rsidP="00591815">
      <w:pPr>
        <w:widowControl w:val="0"/>
        <w:autoSpaceDE w:val="0"/>
        <w:autoSpaceDN w:val="0"/>
        <w:adjustRightInd w:val="0"/>
        <w:ind w:right="389"/>
        <w:jc w:val="both"/>
        <w:rPr>
          <w:rFonts w:cs="Arial"/>
          <w:color w:val="FF0000"/>
          <w:szCs w:val="22"/>
        </w:rPr>
      </w:pPr>
      <w:r w:rsidRPr="00C42223">
        <w:rPr>
          <w:rFonts w:cs="Arial"/>
          <w:color w:val="FF0000"/>
          <w:szCs w:val="22"/>
        </w:rPr>
        <w:t> </w:t>
      </w:r>
    </w:p>
    <w:p w14:paraId="706BE6EC" w14:textId="77777777" w:rsidR="001A5BDB" w:rsidRPr="0076633B" w:rsidRDefault="001A5BDB" w:rsidP="00591815">
      <w:pPr>
        <w:widowControl w:val="0"/>
        <w:autoSpaceDE w:val="0"/>
        <w:autoSpaceDN w:val="0"/>
        <w:adjustRightInd w:val="0"/>
        <w:ind w:right="389"/>
        <w:jc w:val="both"/>
        <w:rPr>
          <w:rFonts w:cs="Arial"/>
          <w:b/>
          <w:bCs/>
          <w:color w:val="000000" w:themeColor="text1"/>
          <w:szCs w:val="22"/>
        </w:rPr>
      </w:pPr>
      <w:r w:rsidRPr="0076633B">
        <w:rPr>
          <w:rFonts w:cs="Arial"/>
          <w:b/>
          <w:bCs/>
          <w:color w:val="000000" w:themeColor="text1"/>
          <w:szCs w:val="22"/>
        </w:rPr>
        <w:t>Borrowing</w:t>
      </w:r>
    </w:p>
    <w:p w14:paraId="7686E7AA" w14:textId="18B9308E" w:rsidR="001A5BDB" w:rsidRPr="0076633B" w:rsidRDefault="001A5BDB" w:rsidP="00591815">
      <w:pPr>
        <w:widowControl w:val="0"/>
        <w:autoSpaceDE w:val="0"/>
        <w:autoSpaceDN w:val="0"/>
        <w:adjustRightInd w:val="0"/>
        <w:spacing w:after="240"/>
        <w:ind w:right="389"/>
        <w:jc w:val="both"/>
        <w:rPr>
          <w:rFonts w:cs="Arial"/>
          <w:color w:val="000000" w:themeColor="text1"/>
          <w:szCs w:val="22"/>
        </w:rPr>
      </w:pPr>
      <w:r w:rsidRPr="0076633B">
        <w:rPr>
          <w:rFonts w:cs="Arial"/>
          <w:color w:val="000000" w:themeColor="text1"/>
          <w:szCs w:val="22"/>
        </w:rPr>
        <w:t xml:space="preserve">The Company will not borrow for investment purposes, although it may borrow for temporary cash flow purposes such as for satisfying working capital requirements. The Master Fund </w:t>
      </w:r>
      <w:r w:rsidR="004B4346">
        <w:rPr>
          <w:rFonts w:cs="Arial"/>
          <w:color w:val="000000" w:themeColor="text1"/>
          <w:szCs w:val="22"/>
        </w:rPr>
        <w:t xml:space="preserve">and the Markel </w:t>
      </w:r>
      <w:proofErr w:type="spellStart"/>
      <w:r w:rsidR="004B4346">
        <w:rPr>
          <w:rFonts w:cs="Arial"/>
          <w:color w:val="000000" w:themeColor="text1"/>
          <w:szCs w:val="22"/>
        </w:rPr>
        <w:t>CAT</w:t>
      </w:r>
      <w:r w:rsidR="00390A6D">
        <w:rPr>
          <w:rFonts w:cs="Arial"/>
          <w:color w:val="000000" w:themeColor="text1"/>
          <w:szCs w:val="22"/>
        </w:rPr>
        <w:t>C</w:t>
      </w:r>
      <w:r w:rsidR="004B4346">
        <w:rPr>
          <w:rFonts w:cs="Arial"/>
          <w:color w:val="000000" w:themeColor="text1"/>
          <w:szCs w:val="22"/>
        </w:rPr>
        <w:t>o</w:t>
      </w:r>
      <w:proofErr w:type="spellEnd"/>
      <w:r w:rsidR="004B4346">
        <w:rPr>
          <w:rFonts w:cs="Arial"/>
          <w:color w:val="000000" w:themeColor="text1"/>
          <w:szCs w:val="22"/>
        </w:rPr>
        <w:t xml:space="preserve"> Master Fund </w:t>
      </w:r>
      <w:r w:rsidRPr="0076633B">
        <w:rPr>
          <w:rFonts w:cs="Arial"/>
          <w:color w:val="000000" w:themeColor="text1"/>
          <w:szCs w:val="22"/>
        </w:rPr>
        <w:t>will not borrow for investment or other purposes but may invest in Insurance-Linked Instruments which are themselves leveraged.</w:t>
      </w:r>
    </w:p>
    <w:p w14:paraId="30724F62" w14:textId="77777777" w:rsidR="001A5BDB" w:rsidRPr="00A217D6" w:rsidRDefault="001A5BDB" w:rsidP="00591815">
      <w:pPr>
        <w:widowControl w:val="0"/>
        <w:autoSpaceDE w:val="0"/>
        <w:autoSpaceDN w:val="0"/>
        <w:adjustRightInd w:val="0"/>
        <w:ind w:right="389"/>
        <w:jc w:val="both"/>
        <w:rPr>
          <w:rFonts w:cs="Arial"/>
          <w:b/>
          <w:bCs/>
          <w:color w:val="000000" w:themeColor="text1"/>
          <w:szCs w:val="22"/>
        </w:rPr>
      </w:pPr>
      <w:r w:rsidRPr="00A217D6">
        <w:rPr>
          <w:rFonts w:cs="Arial"/>
          <w:b/>
          <w:bCs/>
          <w:color w:val="000000" w:themeColor="text1"/>
          <w:szCs w:val="22"/>
        </w:rPr>
        <w:t>Duration</w:t>
      </w:r>
    </w:p>
    <w:p w14:paraId="2C5C285D" w14:textId="77777777" w:rsidR="001A5BDB" w:rsidRPr="00A217D6" w:rsidRDefault="001A5BDB" w:rsidP="00591815">
      <w:pPr>
        <w:widowControl w:val="0"/>
        <w:autoSpaceDE w:val="0"/>
        <w:autoSpaceDN w:val="0"/>
        <w:adjustRightInd w:val="0"/>
        <w:ind w:right="389"/>
        <w:jc w:val="both"/>
        <w:rPr>
          <w:rFonts w:cs="Arial"/>
          <w:color w:val="000000" w:themeColor="text1"/>
          <w:szCs w:val="22"/>
        </w:rPr>
      </w:pPr>
      <w:r w:rsidRPr="00A217D6">
        <w:rPr>
          <w:rFonts w:cs="Arial"/>
          <w:color w:val="000000" w:themeColor="text1"/>
          <w:szCs w:val="22"/>
        </w:rPr>
        <w:t>The Company does not have a fixed life. A continuation vote will be put to Shareholders every five years.</w:t>
      </w:r>
    </w:p>
    <w:p w14:paraId="66852F61" w14:textId="77777777" w:rsidR="001A5BDB" w:rsidRPr="00A217D6" w:rsidRDefault="001A5BDB" w:rsidP="00591815">
      <w:pPr>
        <w:widowControl w:val="0"/>
        <w:autoSpaceDE w:val="0"/>
        <w:autoSpaceDN w:val="0"/>
        <w:adjustRightInd w:val="0"/>
        <w:ind w:right="389"/>
        <w:jc w:val="both"/>
        <w:rPr>
          <w:rFonts w:cs="Arial"/>
          <w:color w:val="000000" w:themeColor="text1"/>
          <w:szCs w:val="22"/>
        </w:rPr>
      </w:pPr>
      <w:r w:rsidRPr="00A217D6">
        <w:rPr>
          <w:rFonts w:cs="Arial"/>
          <w:color w:val="000000" w:themeColor="text1"/>
          <w:szCs w:val="22"/>
        </w:rPr>
        <w:t> </w:t>
      </w:r>
    </w:p>
    <w:p w14:paraId="1E7793E7" w14:textId="77777777" w:rsidR="001A5BDB" w:rsidRPr="00A217D6" w:rsidRDefault="001A5BDB" w:rsidP="00591815">
      <w:pPr>
        <w:widowControl w:val="0"/>
        <w:autoSpaceDE w:val="0"/>
        <w:autoSpaceDN w:val="0"/>
        <w:adjustRightInd w:val="0"/>
        <w:ind w:right="389"/>
        <w:jc w:val="both"/>
        <w:rPr>
          <w:rFonts w:cs="Arial"/>
          <w:b/>
          <w:bCs/>
          <w:color w:val="000000" w:themeColor="text1"/>
          <w:szCs w:val="22"/>
        </w:rPr>
      </w:pPr>
      <w:r w:rsidRPr="00A217D6">
        <w:rPr>
          <w:rFonts w:cs="Arial"/>
          <w:b/>
          <w:bCs/>
          <w:color w:val="000000" w:themeColor="text1"/>
          <w:szCs w:val="22"/>
        </w:rPr>
        <w:t>Risk</w:t>
      </w:r>
    </w:p>
    <w:p w14:paraId="6C71BB77" w14:textId="13888152" w:rsidR="00590EE9" w:rsidRPr="00A217D6" w:rsidRDefault="001A5BDB" w:rsidP="00591815">
      <w:pPr>
        <w:widowControl w:val="0"/>
        <w:autoSpaceDE w:val="0"/>
        <w:autoSpaceDN w:val="0"/>
        <w:adjustRightInd w:val="0"/>
        <w:spacing w:after="240"/>
        <w:ind w:right="389"/>
        <w:jc w:val="both"/>
        <w:rPr>
          <w:rFonts w:cs="Arial"/>
          <w:color w:val="000000" w:themeColor="text1"/>
          <w:szCs w:val="22"/>
        </w:rPr>
      </w:pPr>
      <w:r w:rsidRPr="00A217D6">
        <w:rPr>
          <w:rFonts w:cs="Arial"/>
          <w:color w:val="000000" w:themeColor="text1"/>
          <w:szCs w:val="22"/>
        </w:rPr>
        <w:t xml:space="preserve">The investment funds </w:t>
      </w:r>
      <w:r w:rsidR="004B4346" w:rsidRPr="00A217D6">
        <w:rPr>
          <w:rFonts w:cs="Arial"/>
          <w:color w:val="000000" w:themeColor="text1"/>
          <w:szCs w:val="22"/>
        </w:rPr>
        <w:t xml:space="preserve">portfolio </w:t>
      </w:r>
      <w:r w:rsidRPr="00A217D6">
        <w:rPr>
          <w:rFonts w:cs="Arial"/>
          <w:color w:val="000000" w:themeColor="text1"/>
          <w:szCs w:val="22"/>
        </w:rPr>
        <w:t xml:space="preserve">managed by </w:t>
      </w:r>
      <w:r w:rsidR="004B4346" w:rsidRPr="00A217D6">
        <w:rPr>
          <w:rFonts w:cs="Arial"/>
          <w:color w:val="000000" w:themeColor="text1"/>
          <w:szCs w:val="22"/>
        </w:rPr>
        <w:t xml:space="preserve">Markel </w:t>
      </w:r>
      <w:proofErr w:type="spellStart"/>
      <w:r w:rsidRPr="00A217D6">
        <w:rPr>
          <w:rFonts w:cs="Arial"/>
          <w:color w:val="000000" w:themeColor="text1"/>
          <w:szCs w:val="22"/>
        </w:rPr>
        <w:t>CATCo</w:t>
      </w:r>
      <w:proofErr w:type="spellEnd"/>
      <w:r w:rsidR="00E618C4" w:rsidRPr="00A217D6">
        <w:rPr>
          <w:rFonts w:ascii="Gotham-Book" w:hAnsi="Gotham-Book" w:cs="Arial"/>
          <w:color w:val="000000" w:themeColor="text1"/>
          <w:szCs w:val="22"/>
        </w:rPr>
        <w:t xml:space="preserve"> </w:t>
      </w:r>
      <w:r w:rsidRPr="00A217D6">
        <w:rPr>
          <w:rFonts w:cs="Arial"/>
          <w:color w:val="000000" w:themeColor="text1"/>
          <w:szCs w:val="22"/>
        </w:rPr>
        <w:t xml:space="preserve">Investment Management Limited </w:t>
      </w:r>
      <w:r w:rsidR="004B4346" w:rsidRPr="00A217D6">
        <w:rPr>
          <w:rFonts w:cs="Arial"/>
          <w:color w:val="000000" w:themeColor="text1"/>
          <w:szCs w:val="22"/>
        </w:rPr>
        <w:t>consist of</w:t>
      </w:r>
      <w:r w:rsidRPr="00A217D6">
        <w:rPr>
          <w:rFonts w:cs="Arial"/>
          <w:color w:val="000000" w:themeColor="text1"/>
          <w:szCs w:val="22"/>
        </w:rPr>
        <w:t xml:space="preserve"> fully collateralised </w:t>
      </w:r>
      <w:r w:rsidR="004B4346" w:rsidRPr="00A217D6">
        <w:rPr>
          <w:rFonts w:cs="Arial"/>
          <w:color w:val="000000" w:themeColor="text1"/>
          <w:szCs w:val="22"/>
        </w:rPr>
        <w:t xml:space="preserve">reinsurance contracts </w:t>
      </w:r>
      <w:r w:rsidRPr="00A217D6">
        <w:rPr>
          <w:rFonts w:cs="Arial"/>
          <w:color w:val="000000" w:themeColor="text1"/>
          <w:szCs w:val="22"/>
        </w:rPr>
        <w:t xml:space="preserve">and are largely uncorrelated to traditional asset classes. Risk is spread across multiple non-correlated risk pillars which </w:t>
      </w:r>
      <w:proofErr w:type="gramStart"/>
      <w:r w:rsidRPr="00A217D6">
        <w:rPr>
          <w:rFonts w:cs="Arial"/>
          <w:color w:val="000000" w:themeColor="text1"/>
          <w:szCs w:val="22"/>
        </w:rPr>
        <w:t>aims</w:t>
      </w:r>
      <w:proofErr w:type="gramEnd"/>
      <w:r w:rsidRPr="00A217D6">
        <w:rPr>
          <w:rFonts w:cs="Arial"/>
          <w:color w:val="000000" w:themeColor="text1"/>
          <w:szCs w:val="22"/>
        </w:rPr>
        <w:t xml:space="preserve"> to limit the amount of capital exposed with respect to a single catastrophic event.</w:t>
      </w:r>
    </w:p>
    <w:p w14:paraId="6231A70F" w14:textId="77777777" w:rsidR="00590EE9" w:rsidRPr="0076633B" w:rsidRDefault="00590EE9" w:rsidP="00590EE9">
      <w:pPr>
        <w:widowControl w:val="0"/>
        <w:autoSpaceDE w:val="0"/>
        <w:autoSpaceDN w:val="0"/>
        <w:adjustRightInd w:val="0"/>
        <w:ind w:right="389"/>
        <w:jc w:val="both"/>
        <w:rPr>
          <w:rFonts w:cs="Arial"/>
          <w:b/>
          <w:bCs/>
          <w:color w:val="000000" w:themeColor="text1"/>
          <w:szCs w:val="22"/>
        </w:rPr>
      </w:pPr>
      <w:r w:rsidRPr="0076633B">
        <w:rPr>
          <w:rFonts w:cs="Arial"/>
          <w:b/>
          <w:bCs/>
          <w:color w:val="000000" w:themeColor="text1"/>
          <w:szCs w:val="22"/>
        </w:rPr>
        <w:t>Monitoring Performance</w:t>
      </w:r>
    </w:p>
    <w:p w14:paraId="25E2DAC5" w14:textId="77777777" w:rsidR="00590EE9" w:rsidRPr="0076633B" w:rsidRDefault="00590EE9" w:rsidP="00590EE9">
      <w:pPr>
        <w:widowControl w:val="0"/>
        <w:autoSpaceDE w:val="0"/>
        <w:autoSpaceDN w:val="0"/>
        <w:adjustRightInd w:val="0"/>
        <w:spacing w:after="240"/>
        <w:ind w:right="389"/>
        <w:jc w:val="both"/>
        <w:rPr>
          <w:rFonts w:cs="Arial"/>
          <w:color w:val="000000" w:themeColor="text1"/>
          <w:szCs w:val="22"/>
        </w:rPr>
      </w:pPr>
      <w:r w:rsidRPr="0076633B">
        <w:rPr>
          <w:rFonts w:cs="Arial"/>
          <w:color w:val="000000" w:themeColor="text1"/>
          <w:szCs w:val="22"/>
        </w:rPr>
        <w:t xml:space="preserve">At each Board meeting, the Directors consider a number of performance measures to assess the Company’s success in achieving its objectives. </w:t>
      </w:r>
    </w:p>
    <w:p w14:paraId="0AEF75C3" w14:textId="77777777" w:rsidR="00590EE9" w:rsidRDefault="00590EE9" w:rsidP="00261BD5">
      <w:pPr>
        <w:widowControl w:val="0"/>
        <w:autoSpaceDE w:val="0"/>
        <w:autoSpaceDN w:val="0"/>
        <w:adjustRightInd w:val="0"/>
        <w:spacing w:after="240"/>
        <w:ind w:right="391"/>
        <w:contextualSpacing/>
        <w:jc w:val="both"/>
        <w:rPr>
          <w:rFonts w:cs="Arial"/>
          <w:color w:val="000000" w:themeColor="text1"/>
          <w:szCs w:val="22"/>
        </w:rPr>
      </w:pPr>
      <w:r w:rsidRPr="0076633B">
        <w:rPr>
          <w:rFonts w:cs="Arial"/>
          <w:color w:val="000000" w:themeColor="text1"/>
          <w:szCs w:val="22"/>
        </w:rPr>
        <w:t>The key performance indicators used to measure the progress and performance of the Company over time are established industry measures and are as follows:</w:t>
      </w:r>
    </w:p>
    <w:p w14:paraId="06B778E2" w14:textId="77777777" w:rsidR="00261BD5" w:rsidRPr="0076633B" w:rsidRDefault="00261BD5" w:rsidP="00261BD5">
      <w:pPr>
        <w:widowControl w:val="0"/>
        <w:autoSpaceDE w:val="0"/>
        <w:autoSpaceDN w:val="0"/>
        <w:adjustRightInd w:val="0"/>
        <w:spacing w:after="240"/>
        <w:ind w:right="391"/>
        <w:contextualSpacing/>
        <w:jc w:val="both"/>
        <w:rPr>
          <w:rFonts w:cs="Arial"/>
          <w:color w:val="000000" w:themeColor="text1"/>
          <w:szCs w:val="22"/>
        </w:rPr>
      </w:pPr>
    </w:p>
    <w:p w14:paraId="1F85642D" w14:textId="77777777" w:rsidR="00590EE9" w:rsidRPr="0076633B" w:rsidRDefault="00590EE9" w:rsidP="000B0D31">
      <w:pPr>
        <w:widowControl w:val="0"/>
        <w:numPr>
          <w:ilvl w:val="0"/>
          <w:numId w:val="3"/>
        </w:numPr>
        <w:tabs>
          <w:tab w:val="left" w:pos="220"/>
          <w:tab w:val="left" w:pos="720"/>
        </w:tabs>
        <w:autoSpaceDE w:val="0"/>
        <w:autoSpaceDN w:val="0"/>
        <w:adjustRightInd w:val="0"/>
        <w:spacing w:after="260"/>
        <w:ind w:right="391" w:hanging="720"/>
        <w:contextualSpacing/>
        <w:jc w:val="both"/>
        <w:rPr>
          <w:rFonts w:cs="Arial"/>
          <w:color w:val="000000" w:themeColor="text1"/>
          <w:szCs w:val="22"/>
        </w:rPr>
      </w:pPr>
      <w:r w:rsidRPr="0076633B">
        <w:rPr>
          <w:rFonts w:cs="Arial"/>
          <w:color w:val="000000" w:themeColor="text1"/>
          <w:szCs w:val="22"/>
        </w:rPr>
        <w:t>the m</w:t>
      </w:r>
      <w:r w:rsidR="0033061A" w:rsidRPr="0076633B">
        <w:rPr>
          <w:rFonts w:cs="Arial"/>
          <w:color w:val="000000" w:themeColor="text1"/>
          <w:szCs w:val="22"/>
        </w:rPr>
        <w:t>ovement in Net Asset V</w:t>
      </w:r>
      <w:r w:rsidRPr="0076633B">
        <w:rPr>
          <w:rFonts w:cs="Arial"/>
          <w:color w:val="000000" w:themeColor="text1"/>
          <w:szCs w:val="22"/>
        </w:rPr>
        <w:t xml:space="preserve">alue per Ordinary Share on a gross, net and total return basis; </w:t>
      </w:r>
    </w:p>
    <w:p w14:paraId="5B60DDE0" w14:textId="77777777" w:rsidR="00590EE9" w:rsidRPr="0076633B" w:rsidRDefault="00590EE9" w:rsidP="000B0D31">
      <w:pPr>
        <w:widowControl w:val="0"/>
        <w:numPr>
          <w:ilvl w:val="0"/>
          <w:numId w:val="3"/>
        </w:numPr>
        <w:tabs>
          <w:tab w:val="left" w:pos="220"/>
          <w:tab w:val="left" w:pos="720"/>
        </w:tabs>
        <w:autoSpaceDE w:val="0"/>
        <w:autoSpaceDN w:val="0"/>
        <w:adjustRightInd w:val="0"/>
        <w:spacing w:after="260"/>
        <w:ind w:right="391" w:hanging="720"/>
        <w:contextualSpacing/>
        <w:jc w:val="both"/>
        <w:rPr>
          <w:rFonts w:cs="Arial"/>
          <w:color w:val="000000" w:themeColor="text1"/>
          <w:szCs w:val="22"/>
        </w:rPr>
      </w:pPr>
      <w:r w:rsidRPr="0076633B">
        <w:rPr>
          <w:rFonts w:cs="Arial"/>
          <w:color w:val="000000" w:themeColor="text1"/>
          <w:szCs w:val="22"/>
        </w:rPr>
        <w:t>the mo</w:t>
      </w:r>
      <w:r w:rsidR="0033061A" w:rsidRPr="0076633B">
        <w:rPr>
          <w:rFonts w:cs="Arial"/>
          <w:color w:val="000000" w:themeColor="text1"/>
          <w:szCs w:val="22"/>
        </w:rPr>
        <w:t>vement in the S</w:t>
      </w:r>
      <w:r w:rsidRPr="0076633B">
        <w:rPr>
          <w:rFonts w:cs="Arial"/>
          <w:color w:val="000000" w:themeColor="text1"/>
          <w:szCs w:val="22"/>
        </w:rPr>
        <w:t xml:space="preserve">hare price on a Share price and total return basis; </w:t>
      </w:r>
    </w:p>
    <w:p w14:paraId="2E2CB7D0" w14:textId="77777777" w:rsidR="00590EE9" w:rsidRPr="0076633B" w:rsidRDefault="00590EE9" w:rsidP="000B0D31">
      <w:pPr>
        <w:widowControl w:val="0"/>
        <w:numPr>
          <w:ilvl w:val="0"/>
          <w:numId w:val="3"/>
        </w:numPr>
        <w:tabs>
          <w:tab w:val="left" w:pos="220"/>
          <w:tab w:val="left" w:pos="720"/>
        </w:tabs>
        <w:autoSpaceDE w:val="0"/>
        <w:autoSpaceDN w:val="0"/>
        <w:adjustRightInd w:val="0"/>
        <w:spacing w:after="260"/>
        <w:ind w:right="391" w:hanging="720"/>
        <w:contextualSpacing/>
        <w:jc w:val="both"/>
        <w:rPr>
          <w:rFonts w:cs="Arial"/>
          <w:color w:val="000000" w:themeColor="text1"/>
          <w:szCs w:val="22"/>
        </w:rPr>
      </w:pPr>
      <w:r w:rsidRPr="0076633B">
        <w:rPr>
          <w:rFonts w:cs="Arial"/>
          <w:color w:val="000000" w:themeColor="text1"/>
          <w:szCs w:val="22"/>
        </w:rPr>
        <w:t xml:space="preserve">the discount; and </w:t>
      </w:r>
    </w:p>
    <w:p w14:paraId="04946D73" w14:textId="77777777" w:rsidR="00590EE9" w:rsidRPr="0076633B" w:rsidRDefault="00590EE9" w:rsidP="000B0D31">
      <w:pPr>
        <w:widowControl w:val="0"/>
        <w:numPr>
          <w:ilvl w:val="0"/>
          <w:numId w:val="3"/>
        </w:numPr>
        <w:tabs>
          <w:tab w:val="left" w:pos="220"/>
          <w:tab w:val="left" w:pos="720"/>
        </w:tabs>
        <w:autoSpaceDE w:val="0"/>
        <w:autoSpaceDN w:val="0"/>
        <w:adjustRightInd w:val="0"/>
        <w:spacing w:after="260"/>
        <w:ind w:right="391" w:hanging="720"/>
        <w:contextualSpacing/>
        <w:jc w:val="both"/>
        <w:rPr>
          <w:rFonts w:cs="Arial"/>
          <w:color w:val="000000" w:themeColor="text1"/>
          <w:szCs w:val="22"/>
        </w:rPr>
      </w:pPr>
      <w:proofErr w:type="gramStart"/>
      <w:r w:rsidRPr="0076633B">
        <w:rPr>
          <w:rFonts w:cs="Arial"/>
          <w:color w:val="000000" w:themeColor="text1"/>
          <w:szCs w:val="22"/>
        </w:rPr>
        <w:t>the</w:t>
      </w:r>
      <w:proofErr w:type="gramEnd"/>
      <w:r w:rsidRPr="0076633B">
        <w:rPr>
          <w:rFonts w:cs="Arial"/>
          <w:color w:val="000000" w:themeColor="text1"/>
          <w:szCs w:val="22"/>
        </w:rPr>
        <w:t xml:space="preserve"> total expense ratio. </w:t>
      </w:r>
    </w:p>
    <w:p w14:paraId="5CCF688A" w14:textId="77777777" w:rsidR="00261BD5" w:rsidRDefault="00261BD5" w:rsidP="00261BD5">
      <w:pPr>
        <w:widowControl w:val="0"/>
        <w:tabs>
          <w:tab w:val="left" w:pos="220"/>
          <w:tab w:val="left" w:pos="720"/>
        </w:tabs>
        <w:autoSpaceDE w:val="0"/>
        <w:autoSpaceDN w:val="0"/>
        <w:adjustRightInd w:val="0"/>
        <w:spacing w:after="260"/>
        <w:ind w:right="391"/>
        <w:contextualSpacing/>
        <w:jc w:val="both"/>
        <w:rPr>
          <w:rFonts w:cs="Arial"/>
          <w:color w:val="000000" w:themeColor="text1"/>
          <w:szCs w:val="22"/>
        </w:rPr>
      </w:pPr>
    </w:p>
    <w:p w14:paraId="4D3781CF" w14:textId="77777777" w:rsidR="00590EE9" w:rsidRDefault="00590EE9" w:rsidP="00261BD5">
      <w:pPr>
        <w:widowControl w:val="0"/>
        <w:tabs>
          <w:tab w:val="left" w:pos="220"/>
          <w:tab w:val="left" w:pos="720"/>
        </w:tabs>
        <w:autoSpaceDE w:val="0"/>
        <w:autoSpaceDN w:val="0"/>
        <w:adjustRightInd w:val="0"/>
        <w:spacing w:after="260"/>
        <w:ind w:right="391"/>
        <w:contextualSpacing/>
        <w:jc w:val="both"/>
        <w:rPr>
          <w:rFonts w:cs="Arial"/>
          <w:color w:val="000000" w:themeColor="text1"/>
          <w:szCs w:val="22"/>
        </w:rPr>
      </w:pPr>
      <w:r w:rsidRPr="0076633B">
        <w:rPr>
          <w:rFonts w:cs="Arial"/>
          <w:color w:val="000000" w:themeColor="text1"/>
          <w:szCs w:val="22"/>
        </w:rPr>
        <w:t>In addition to the above, the Board of Directors also considers peer group comparative performance.  </w:t>
      </w:r>
    </w:p>
    <w:p w14:paraId="1BEA4DCD" w14:textId="77777777" w:rsidR="00261BD5" w:rsidRPr="0076633B" w:rsidRDefault="00261BD5" w:rsidP="00261BD5">
      <w:pPr>
        <w:widowControl w:val="0"/>
        <w:tabs>
          <w:tab w:val="left" w:pos="220"/>
          <w:tab w:val="left" w:pos="720"/>
        </w:tabs>
        <w:autoSpaceDE w:val="0"/>
        <w:autoSpaceDN w:val="0"/>
        <w:adjustRightInd w:val="0"/>
        <w:spacing w:after="260"/>
        <w:ind w:right="391"/>
        <w:contextualSpacing/>
        <w:jc w:val="both"/>
        <w:rPr>
          <w:rFonts w:cs="Arial"/>
          <w:color w:val="000000" w:themeColor="text1"/>
          <w:szCs w:val="22"/>
        </w:rPr>
      </w:pPr>
    </w:p>
    <w:p w14:paraId="6CA85B4D" w14:textId="77777777" w:rsidR="001A5BDB" w:rsidRPr="0076633B" w:rsidRDefault="001A5BDB" w:rsidP="00591815">
      <w:pPr>
        <w:widowControl w:val="0"/>
        <w:autoSpaceDE w:val="0"/>
        <w:autoSpaceDN w:val="0"/>
        <w:adjustRightInd w:val="0"/>
        <w:ind w:right="389"/>
        <w:jc w:val="both"/>
        <w:rPr>
          <w:rFonts w:cs="Arial"/>
          <w:b/>
          <w:bCs/>
          <w:color w:val="000000" w:themeColor="text1"/>
          <w:szCs w:val="22"/>
        </w:rPr>
      </w:pPr>
      <w:r w:rsidRPr="0076633B">
        <w:rPr>
          <w:rFonts w:cs="Arial"/>
          <w:b/>
          <w:bCs/>
          <w:color w:val="000000" w:themeColor="text1"/>
          <w:szCs w:val="22"/>
        </w:rPr>
        <w:t>Management of Risk</w:t>
      </w:r>
    </w:p>
    <w:p w14:paraId="0733D3AA" w14:textId="77777777" w:rsidR="0076633B" w:rsidRPr="0076633B" w:rsidRDefault="0076633B" w:rsidP="00591815">
      <w:pPr>
        <w:widowControl w:val="0"/>
        <w:autoSpaceDE w:val="0"/>
        <w:autoSpaceDN w:val="0"/>
        <w:adjustRightInd w:val="0"/>
        <w:ind w:right="389"/>
        <w:jc w:val="both"/>
        <w:rPr>
          <w:rFonts w:cs="Arial"/>
          <w:b/>
          <w:bCs/>
          <w:color w:val="000000" w:themeColor="text1"/>
          <w:szCs w:val="22"/>
        </w:rPr>
      </w:pPr>
    </w:p>
    <w:p w14:paraId="6A4BD608" w14:textId="1C1E0B17" w:rsidR="0076633B" w:rsidRPr="0076633B" w:rsidRDefault="0076633B" w:rsidP="00591815">
      <w:pPr>
        <w:widowControl w:val="0"/>
        <w:autoSpaceDE w:val="0"/>
        <w:autoSpaceDN w:val="0"/>
        <w:adjustRightInd w:val="0"/>
        <w:spacing w:after="240"/>
        <w:ind w:right="389"/>
        <w:jc w:val="both"/>
        <w:rPr>
          <w:rFonts w:cs="Arial"/>
          <w:color w:val="000000" w:themeColor="text1"/>
          <w:szCs w:val="22"/>
        </w:rPr>
      </w:pPr>
      <w:r w:rsidRPr="0076633B">
        <w:rPr>
          <w:rFonts w:cs="Arial"/>
          <w:color w:val="000000" w:themeColor="text1"/>
          <w:szCs w:val="22"/>
        </w:rPr>
        <w:t xml:space="preserve">The Manager’s risk objectives are closely linked to their performance goals. They seek to </w:t>
      </w:r>
      <w:proofErr w:type="spellStart"/>
      <w:r w:rsidRPr="0076633B">
        <w:rPr>
          <w:rFonts w:cs="Arial"/>
          <w:color w:val="000000" w:themeColor="text1"/>
          <w:szCs w:val="22"/>
        </w:rPr>
        <w:t>optimi</w:t>
      </w:r>
      <w:r w:rsidR="009E53AF">
        <w:rPr>
          <w:rFonts w:cs="Arial"/>
          <w:color w:val="000000" w:themeColor="text1"/>
          <w:szCs w:val="22"/>
        </w:rPr>
        <w:t>s</w:t>
      </w:r>
      <w:r w:rsidRPr="0076633B">
        <w:rPr>
          <w:rFonts w:cs="Arial"/>
          <w:color w:val="000000" w:themeColor="text1"/>
          <w:szCs w:val="22"/>
        </w:rPr>
        <w:t>e</w:t>
      </w:r>
      <w:proofErr w:type="spellEnd"/>
      <w:r w:rsidRPr="0076633B">
        <w:rPr>
          <w:rFonts w:cs="Arial"/>
          <w:color w:val="000000" w:themeColor="text1"/>
          <w:szCs w:val="22"/>
        </w:rPr>
        <w:t xml:space="preserve"> trade-offs to ensure that they meet their return objectives, control the volatility of these returns, track underlying liquidity and identify and manage macro-factor risk.</w:t>
      </w:r>
    </w:p>
    <w:p w14:paraId="11C3792F" w14:textId="6C6210D6" w:rsidR="00A57190" w:rsidRDefault="001A5BDB" w:rsidP="00261BD5">
      <w:pPr>
        <w:widowControl w:val="0"/>
        <w:autoSpaceDE w:val="0"/>
        <w:autoSpaceDN w:val="0"/>
        <w:adjustRightInd w:val="0"/>
        <w:spacing w:after="240"/>
        <w:ind w:right="391"/>
        <w:contextualSpacing/>
        <w:jc w:val="both"/>
        <w:rPr>
          <w:rFonts w:cs="Arial"/>
          <w:color w:val="000000" w:themeColor="text1"/>
          <w:szCs w:val="22"/>
        </w:rPr>
      </w:pPr>
      <w:r w:rsidRPr="0076633B">
        <w:rPr>
          <w:rFonts w:cs="Arial"/>
          <w:color w:val="000000" w:themeColor="text1"/>
          <w:szCs w:val="22"/>
        </w:rPr>
        <w:t>The Board of Directors regularly review the major strategic risks that the Board and the Investment Manager have identified, and against these, the Board sets out the delegated controls designed to manage those risks. The principal risks facing the Company in addition to the reinsurance risks as discussed above relate to the Company’s investment activities and include market price, interest rate, liquidity and credit risk. Such key risks relating to investment and strategy including</w:t>
      </w:r>
      <w:r w:rsidR="009E53AF">
        <w:rPr>
          <w:rFonts w:cs="Arial"/>
          <w:color w:val="000000" w:themeColor="text1"/>
          <w:szCs w:val="22"/>
        </w:rPr>
        <w:t>,</w:t>
      </w:r>
      <w:r w:rsidRPr="0076633B">
        <w:rPr>
          <w:rFonts w:cs="Arial"/>
          <w:color w:val="000000" w:themeColor="text1"/>
          <w:szCs w:val="22"/>
        </w:rPr>
        <w:t xml:space="preserve"> for example, inappropriate asset allocation or borrowing are managed through investment policy guidelines and restrictions, and by the process of oversight at each Board meeting as previously outlined. </w:t>
      </w:r>
    </w:p>
    <w:p w14:paraId="2BC0642A" w14:textId="77777777" w:rsidR="00261BD5" w:rsidRPr="0076633B" w:rsidRDefault="00261BD5" w:rsidP="00261BD5">
      <w:pPr>
        <w:widowControl w:val="0"/>
        <w:autoSpaceDE w:val="0"/>
        <w:autoSpaceDN w:val="0"/>
        <w:adjustRightInd w:val="0"/>
        <w:spacing w:after="240"/>
        <w:ind w:right="391"/>
        <w:contextualSpacing/>
        <w:jc w:val="both"/>
        <w:rPr>
          <w:rFonts w:cs="Arial"/>
          <w:color w:val="000000" w:themeColor="text1"/>
          <w:szCs w:val="22"/>
        </w:rPr>
      </w:pPr>
    </w:p>
    <w:p w14:paraId="130CBC3F" w14:textId="77777777" w:rsidR="001A5BDB" w:rsidRDefault="001A5BDB" w:rsidP="00261BD5">
      <w:pPr>
        <w:widowControl w:val="0"/>
        <w:autoSpaceDE w:val="0"/>
        <w:autoSpaceDN w:val="0"/>
        <w:adjustRightInd w:val="0"/>
        <w:spacing w:after="240"/>
        <w:ind w:right="391"/>
        <w:contextualSpacing/>
        <w:jc w:val="both"/>
        <w:rPr>
          <w:rFonts w:cs="Arial"/>
          <w:color w:val="000000" w:themeColor="text1"/>
          <w:szCs w:val="22"/>
        </w:rPr>
      </w:pPr>
      <w:r w:rsidRPr="0076633B">
        <w:rPr>
          <w:rFonts w:cs="Arial"/>
          <w:color w:val="000000" w:themeColor="text1"/>
          <w:szCs w:val="22"/>
        </w:rPr>
        <w:t>Operational disruption, accounting and legal risks are also covered annually, and regulatory compliance is reviewed at each Board meeting. </w:t>
      </w:r>
    </w:p>
    <w:p w14:paraId="0ECF77D4" w14:textId="77777777" w:rsidR="00261BD5" w:rsidRDefault="00261BD5" w:rsidP="00261BD5">
      <w:pPr>
        <w:widowControl w:val="0"/>
        <w:autoSpaceDE w:val="0"/>
        <w:autoSpaceDN w:val="0"/>
        <w:adjustRightInd w:val="0"/>
        <w:spacing w:after="240"/>
        <w:ind w:right="391"/>
        <w:contextualSpacing/>
        <w:jc w:val="both"/>
        <w:rPr>
          <w:rFonts w:cs="Arial"/>
          <w:color w:val="000000" w:themeColor="text1"/>
          <w:szCs w:val="22"/>
        </w:rPr>
      </w:pPr>
    </w:p>
    <w:p w14:paraId="48227780" w14:textId="77777777" w:rsidR="009E53AF" w:rsidRDefault="009E53AF" w:rsidP="00261BD5">
      <w:pPr>
        <w:widowControl w:val="0"/>
        <w:autoSpaceDE w:val="0"/>
        <w:autoSpaceDN w:val="0"/>
        <w:adjustRightInd w:val="0"/>
        <w:spacing w:after="240"/>
        <w:ind w:right="391"/>
        <w:contextualSpacing/>
        <w:jc w:val="both"/>
        <w:rPr>
          <w:rFonts w:cs="Arial"/>
          <w:color w:val="000000" w:themeColor="text1"/>
          <w:szCs w:val="22"/>
        </w:rPr>
      </w:pPr>
      <w:r w:rsidRPr="00ED3E0B">
        <w:rPr>
          <w:rFonts w:cs="Arial"/>
          <w:color w:val="000000" w:themeColor="text1"/>
          <w:szCs w:val="22"/>
        </w:rPr>
        <w:t>An explanation of other risks relating to the Company's investment activities, specifically concentration of credit risk and concentration of reinsurance risk, are contained in notes 3 and 4 to the Financial Statements.</w:t>
      </w:r>
    </w:p>
    <w:p w14:paraId="4834A7F4" w14:textId="77777777" w:rsidR="00261BD5" w:rsidRPr="00ED3E0B" w:rsidRDefault="00261BD5" w:rsidP="00261BD5">
      <w:pPr>
        <w:widowControl w:val="0"/>
        <w:autoSpaceDE w:val="0"/>
        <w:autoSpaceDN w:val="0"/>
        <w:adjustRightInd w:val="0"/>
        <w:spacing w:after="240"/>
        <w:ind w:right="391"/>
        <w:contextualSpacing/>
        <w:jc w:val="both"/>
        <w:rPr>
          <w:rFonts w:cs="Arial"/>
          <w:color w:val="000000" w:themeColor="text1"/>
          <w:szCs w:val="22"/>
        </w:rPr>
      </w:pPr>
    </w:p>
    <w:p w14:paraId="6A9E6AE4" w14:textId="77777777" w:rsidR="001A5BDB" w:rsidRPr="00A217D6" w:rsidRDefault="001A5BDB" w:rsidP="00261BD5">
      <w:pPr>
        <w:widowControl w:val="0"/>
        <w:autoSpaceDE w:val="0"/>
        <w:autoSpaceDN w:val="0"/>
        <w:adjustRightInd w:val="0"/>
        <w:ind w:right="391"/>
        <w:contextualSpacing/>
        <w:jc w:val="both"/>
        <w:rPr>
          <w:rFonts w:cs="Arial"/>
          <w:b/>
          <w:bCs/>
          <w:color w:val="000000" w:themeColor="text1"/>
          <w:szCs w:val="22"/>
        </w:rPr>
      </w:pPr>
      <w:r w:rsidRPr="00A217D6">
        <w:rPr>
          <w:rFonts w:cs="Arial"/>
          <w:b/>
          <w:bCs/>
          <w:color w:val="000000" w:themeColor="text1"/>
          <w:szCs w:val="22"/>
        </w:rPr>
        <w:t>Results and Dividends</w:t>
      </w:r>
    </w:p>
    <w:p w14:paraId="5A779AE6" w14:textId="1B5E6550" w:rsidR="001A5BDB" w:rsidRPr="00A217D6" w:rsidRDefault="001A5BDB" w:rsidP="00261BD5">
      <w:pPr>
        <w:widowControl w:val="0"/>
        <w:autoSpaceDE w:val="0"/>
        <w:autoSpaceDN w:val="0"/>
        <w:adjustRightInd w:val="0"/>
        <w:ind w:right="391"/>
        <w:contextualSpacing/>
        <w:jc w:val="both"/>
        <w:rPr>
          <w:rFonts w:cs="Arial"/>
          <w:color w:val="000000" w:themeColor="text1"/>
          <w:szCs w:val="22"/>
        </w:rPr>
      </w:pPr>
      <w:r w:rsidRPr="00A217D6">
        <w:rPr>
          <w:rFonts w:cs="Arial"/>
          <w:color w:val="000000" w:themeColor="text1"/>
          <w:szCs w:val="22"/>
        </w:rPr>
        <w:t xml:space="preserve">The total return attributable to </w:t>
      </w:r>
      <w:r w:rsidR="00B8738D">
        <w:rPr>
          <w:rFonts w:cs="Arial"/>
          <w:color w:val="000000" w:themeColor="text1"/>
          <w:szCs w:val="22"/>
        </w:rPr>
        <w:t xml:space="preserve">Ordinary </w:t>
      </w:r>
      <w:r w:rsidRPr="00A217D6">
        <w:rPr>
          <w:rFonts w:cs="Arial"/>
          <w:color w:val="000000" w:themeColor="text1"/>
          <w:szCs w:val="22"/>
        </w:rPr>
        <w:t xml:space="preserve">Shareholders for the year amounted to </w:t>
      </w:r>
      <w:r w:rsidR="00A96878" w:rsidRPr="00A217D6">
        <w:rPr>
          <w:rFonts w:cs="Arial"/>
          <w:color w:val="000000" w:themeColor="text1"/>
          <w:szCs w:val="22"/>
        </w:rPr>
        <w:t>11.58</w:t>
      </w:r>
      <w:r w:rsidR="00CF0FE5" w:rsidRPr="00A217D6">
        <w:rPr>
          <w:rFonts w:cs="Arial"/>
          <w:color w:val="000000" w:themeColor="text1"/>
          <w:szCs w:val="22"/>
        </w:rPr>
        <w:t>%</w:t>
      </w:r>
      <w:r w:rsidR="00A57190" w:rsidRPr="00A217D6">
        <w:rPr>
          <w:rFonts w:cs="Arial"/>
          <w:color w:val="000000" w:themeColor="text1"/>
          <w:szCs w:val="22"/>
        </w:rPr>
        <w:t xml:space="preserve"> (201</w:t>
      </w:r>
      <w:r w:rsidR="00A96878" w:rsidRPr="00A217D6">
        <w:rPr>
          <w:rFonts w:cs="Arial"/>
          <w:color w:val="000000" w:themeColor="text1"/>
          <w:szCs w:val="22"/>
        </w:rPr>
        <w:t>4</w:t>
      </w:r>
      <w:r w:rsidRPr="00A217D6">
        <w:rPr>
          <w:rFonts w:cs="Arial"/>
          <w:color w:val="000000" w:themeColor="text1"/>
          <w:szCs w:val="22"/>
        </w:rPr>
        <w:t xml:space="preserve"> </w:t>
      </w:r>
      <w:r w:rsidR="00CF0FE5" w:rsidRPr="00A217D6">
        <w:rPr>
          <w:rFonts w:cs="Arial"/>
          <w:color w:val="000000" w:themeColor="text1"/>
          <w:szCs w:val="22"/>
        </w:rPr>
        <w:t>–</w:t>
      </w:r>
      <w:r w:rsidRPr="00A217D6">
        <w:rPr>
          <w:rFonts w:cs="Arial"/>
          <w:color w:val="000000" w:themeColor="text1"/>
          <w:szCs w:val="22"/>
        </w:rPr>
        <w:t xml:space="preserve"> </w:t>
      </w:r>
      <w:r w:rsidR="00A96878" w:rsidRPr="00A217D6">
        <w:rPr>
          <w:rFonts w:cs="Arial"/>
          <w:color w:val="000000" w:themeColor="text1"/>
          <w:szCs w:val="22"/>
        </w:rPr>
        <w:t>14.08</w:t>
      </w:r>
      <w:r w:rsidR="00CF0FE5" w:rsidRPr="00A217D6">
        <w:rPr>
          <w:rFonts w:cs="Arial"/>
          <w:color w:val="000000" w:themeColor="text1"/>
          <w:szCs w:val="22"/>
        </w:rPr>
        <w:t>%</w:t>
      </w:r>
      <w:r w:rsidRPr="00A217D6">
        <w:rPr>
          <w:rFonts w:cs="Arial"/>
          <w:color w:val="000000" w:themeColor="text1"/>
          <w:szCs w:val="22"/>
        </w:rPr>
        <w:t>).</w:t>
      </w:r>
    </w:p>
    <w:p w14:paraId="397E3CE0" w14:textId="59E3DD16" w:rsidR="001A5BDB" w:rsidRPr="00A217D6" w:rsidRDefault="001A5BDB" w:rsidP="00261BD5">
      <w:pPr>
        <w:widowControl w:val="0"/>
        <w:autoSpaceDE w:val="0"/>
        <w:autoSpaceDN w:val="0"/>
        <w:adjustRightInd w:val="0"/>
        <w:ind w:right="391"/>
        <w:contextualSpacing/>
        <w:jc w:val="both"/>
        <w:rPr>
          <w:rFonts w:cs="Arial"/>
          <w:color w:val="000000" w:themeColor="text1"/>
          <w:szCs w:val="22"/>
        </w:rPr>
      </w:pPr>
      <w:r w:rsidRPr="00A217D6">
        <w:rPr>
          <w:rFonts w:cs="Arial"/>
          <w:color w:val="000000" w:themeColor="text1"/>
          <w:szCs w:val="22"/>
        </w:rPr>
        <w:t> </w:t>
      </w:r>
    </w:p>
    <w:p w14:paraId="79260BAF" w14:textId="77777777" w:rsidR="001A5BDB" w:rsidRDefault="001A5BDB" w:rsidP="00261BD5">
      <w:pPr>
        <w:widowControl w:val="0"/>
        <w:autoSpaceDE w:val="0"/>
        <w:autoSpaceDN w:val="0"/>
        <w:adjustRightInd w:val="0"/>
        <w:spacing w:after="240"/>
        <w:ind w:right="391"/>
        <w:contextualSpacing/>
        <w:jc w:val="both"/>
        <w:rPr>
          <w:rFonts w:cs="Arial"/>
          <w:color w:val="000000" w:themeColor="text1"/>
          <w:szCs w:val="22"/>
        </w:rPr>
      </w:pPr>
      <w:r w:rsidRPr="00A217D6">
        <w:rPr>
          <w:rFonts w:cs="Arial"/>
          <w:color w:val="000000" w:themeColor="text1"/>
          <w:szCs w:val="22"/>
        </w:rPr>
        <w:t>At the launch of the Company, the Board of Directors indicated the intention to pay an annual dividend in respect of any Fiscal Year of an amount equal to LIBOR plus 5 percent of the Net Asset Value as at the end of the relevant Fiscal Year.</w:t>
      </w:r>
    </w:p>
    <w:p w14:paraId="271C0E5D" w14:textId="77777777" w:rsidR="00261BD5" w:rsidRPr="00A217D6" w:rsidRDefault="00261BD5" w:rsidP="00261BD5">
      <w:pPr>
        <w:widowControl w:val="0"/>
        <w:autoSpaceDE w:val="0"/>
        <w:autoSpaceDN w:val="0"/>
        <w:adjustRightInd w:val="0"/>
        <w:spacing w:after="240"/>
        <w:ind w:right="391"/>
        <w:contextualSpacing/>
        <w:jc w:val="both"/>
        <w:rPr>
          <w:rFonts w:cs="Arial"/>
          <w:color w:val="000000" w:themeColor="text1"/>
          <w:szCs w:val="22"/>
        </w:rPr>
      </w:pPr>
    </w:p>
    <w:p w14:paraId="439B32EF" w14:textId="4A2CC9D9" w:rsidR="001A5BDB" w:rsidRDefault="001A5BDB" w:rsidP="00261BD5">
      <w:pPr>
        <w:widowControl w:val="0"/>
        <w:autoSpaceDE w:val="0"/>
        <w:autoSpaceDN w:val="0"/>
        <w:adjustRightInd w:val="0"/>
        <w:spacing w:after="240"/>
        <w:ind w:right="391"/>
        <w:contextualSpacing/>
        <w:jc w:val="both"/>
        <w:rPr>
          <w:rFonts w:cs="Arial"/>
          <w:color w:val="000000" w:themeColor="text1"/>
          <w:szCs w:val="22"/>
        </w:rPr>
      </w:pPr>
      <w:r w:rsidRPr="00A217D6">
        <w:rPr>
          <w:rFonts w:cs="Arial"/>
          <w:color w:val="000000" w:themeColor="text1"/>
          <w:szCs w:val="22"/>
        </w:rPr>
        <w:t>An annual dividend of USD0.0</w:t>
      </w:r>
      <w:r w:rsidR="00A96878" w:rsidRPr="00A217D6">
        <w:rPr>
          <w:rFonts w:cs="Arial"/>
          <w:color w:val="000000" w:themeColor="text1"/>
          <w:szCs w:val="22"/>
        </w:rPr>
        <w:t>6619</w:t>
      </w:r>
      <w:r w:rsidRPr="00A217D6">
        <w:rPr>
          <w:rFonts w:cs="Arial"/>
          <w:color w:val="000000" w:themeColor="text1"/>
          <w:szCs w:val="22"/>
        </w:rPr>
        <w:t xml:space="preserve"> in respect of the Ordinary Shares </w:t>
      </w:r>
      <w:r w:rsidR="00A57190" w:rsidRPr="00A217D6">
        <w:rPr>
          <w:rFonts w:cs="Arial"/>
          <w:color w:val="000000" w:themeColor="text1"/>
          <w:szCs w:val="22"/>
        </w:rPr>
        <w:t xml:space="preserve">for the year to 31 </w:t>
      </w:r>
      <w:r w:rsidR="00ED4E93" w:rsidRPr="00A217D6">
        <w:rPr>
          <w:rFonts w:cs="Arial"/>
          <w:color w:val="000000" w:themeColor="text1"/>
          <w:szCs w:val="22"/>
        </w:rPr>
        <w:t>December 201</w:t>
      </w:r>
      <w:r w:rsidR="00A96878" w:rsidRPr="00A217D6">
        <w:rPr>
          <w:rFonts w:cs="Arial"/>
          <w:color w:val="000000" w:themeColor="text1"/>
          <w:szCs w:val="22"/>
        </w:rPr>
        <w:t>5</w:t>
      </w:r>
      <w:r w:rsidR="00ED4E93" w:rsidRPr="00A217D6">
        <w:rPr>
          <w:rFonts w:cs="Arial"/>
          <w:color w:val="000000" w:themeColor="text1"/>
          <w:szCs w:val="22"/>
        </w:rPr>
        <w:t xml:space="preserve"> was declared on </w:t>
      </w:r>
      <w:r w:rsidR="00A96878" w:rsidRPr="00A217D6">
        <w:rPr>
          <w:rFonts w:cs="Arial"/>
          <w:color w:val="000000" w:themeColor="text1"/>
          <w:szCs w:val="22"/>
        </w:rPr>
        <w:t>29</w:t>
      </w:r>
      <w:r w:rsidR="00A57190" w:rsidRPr="00A217D6">
        <w:rPr>
          <w:rFonts w:cs="Arial"/>
          <w:color w:val="000000" w:themeColor="text1"/>
          <w:szCs w:val="22"/>
        </w:rPr>
        <w:t xml:space="preserve"> January 201</w:t>
      </w:r>
      <w:r w:rsidR="00A96878" w:rsidRPr="00A217D6">
        <w:rPr>
          <w:rFonts w:cs="Arial"/>
          <w:color w:val="000000" w:themeColor="text1"/>
          <w:szCs w:val="22"/>
        </w:rPr>
        <w:t>6</w:t>
      </w:r>
      <w:r w:rsidRPr="00A217D6">
        <w:rPr>
          <w:rFonts w:cs="Arial"/>
          <w:color w:val="000000" w:themeColor="text1"/>
          <w:szCs w:val="22"/>
        </w:rPr>
        <w:t>.</w:t>
      </w:r>
    </w:p>
    <w:p w14:paraId="7A5FCDA3" w14:textId="77777777" w:rsidR="00261BD5" w:rsidRPr="00A217D6" w:rsidRDefault="00261BD5" w:rsidP="00261BD5">
      <w:pPr>
        <w:widowControl w:val="0"/>
        <w:autoSpaceDE w:val="0"/>
        <w:autoSpaceDN w:val="0"/>
        <w:adjustRightInd w:val="0"/>
        <w:spacing w:after="240"/>
        <w:ind w:right="391"/>
        <w:contextualSpacing/>
        <w:jc w:val="both"/>
        <w:rPr>
          <w:rFonts w:cs="Arial"/>
          <w:color w:val="000000" w:themeColor="text1"/>
          <w:szCs w:val="22"/>
        </w:rPr>
      </w:pPr>
    </w:p>
    <w:p w14:paraId="33FDC621" w14:textId="7FA5D29B" w:rsidR="001A5BDB" w:rsidRPr="00A217D6" w:rsidRDefault="001A5BDB" w:rsidP="00261BD5">
      <w:pPr>
        <w:widowControl w:val="0"/>
        <w:autoSpaceDE w:val="0"/>
        <w:autoSpaceDN w:val="0"/>
        <w:adjustRightInd w:val="0"/>
        <w:spacing w:after="240"/>
        <w:ind w:right="391"/>
        <w:contextualSpacing/>
        <w:jc w:val="both"/>
        <w:rPr>
          <w:rFonts w:cs="Arial"/>
          <w:color w:val="000000" w:themeColor="text1"/>
          <w:szCs w:val="22"/>
        </w:rPr>
      </w:pPr>
      <w:r w:rsidRPr="00A217D6">
        <w:rPr>
          <w:rFonts w:cs="Arial"/>
          <w:color w:val="000000" w:themeColor="text1"/>
          <w:szCs w:val="22"/>
        </w:rPr>
        <w:t xml:space="preserve">The record date for this dividend was </w:t>
      </w:r>
      <w:r w:rsidR="00ED4E93" w:rsidRPr="00A217D6">
        <w:rPr>
          <w:rFonts w:cs="Arial"/>
          <w:color w:val="000000" w:themeColor="text1"/>
          <w:szCs w:val="22"/>
        </w:rPr>
        <w:t>1</w:t>
      </w:r>
      <w:r w:rsidR="00A96878" w:rsidRPr="00A217D6">
        <w:rPr>
          <w:rFonts w:cs="Arial"/>
          <w:color w:val="000000" w:themeColor="text1"/>
          <w:szCs w:val="22"/>
        </w:rPr>
        <w:t>2</w:t>
      </w:r>
      <w:r w:rsidR="00A57190" w:rsidRPr="00A217D6">
        <w:rPr>
          <w:rFonts w:cs="Arial"/>
          <w:color w:val="000000" w:themeColor="text1"/>
          <w:szCs w:val="22"/>
        </w:rPr>
        <w:t xml:space="preserve"> </w:t>
      </w:r>
      <w:r w:rsidR="00A96878" w:rsidRPr="00A217D6">
        <w:rPr>
          <w:rFonts w:cs="Arial"/>
          <w:color w:val="000000" w:themeColor="text1"/>
          <w:szCs w:val="22"/>
        </w:rPr>
        <w:t xml:space="preserve">February </w:t>
      </w:r>
      <w:r w:rsidR="00A57190" w:rsidRPr="00A217D6">
        <w:rPr>
          <w:rFonts w:cs="Arial"/>
          <w:color w:val="000000" w:themeColor="text1"/>
          <w:szCs w:val="22"/>
        </w:rPr>
        <w:t>201</w:t>
      </w:r>
      <w:r w:rsidR="00A96878" w:rsidRPr="00A217D6">
        <w:rPr>
          <w:rFonts w:cs="Arial"/>
          <w:color w:val="000000" w:themeColor="text1"/>
          <w:szCs w:val="22"/>
        </w:rPr>
        <w:t>6</w:t>
      </w:r>
      <w:r w:rsidRPr="00A217D6">
        <w:rPr>
          <w:rFonts w:cs="Arial"/>
          <w:color w:val="000000" w:themeColor="text1"/>
          <w:szCs w:val="22"/>
        </w:rPr>
        <w:t xml:space="preserve"> and the Ordinary Shares went ex-dividend on </w:t>
      </w:r>
      <w:r w:rsidR="00ED4E93" w:rsidRPr="00A217D6">
        <w:rPr>
          <w:rFonts w:cs="Arial"/>
          <w:color w:val="000000" w:themeColor="text1"/>
          <w:szCs w:val="22"/>
        </w:rPr>
        <w:t>1</w:t>
      </w:r>
      <w:r w:rsidR="00A96878" w:rsidRPr="00A217D6">
        <w:rPr>
          <w:rFonts w:cs="Arial"/>
          <w:color w:val="000000" w:themeColor="text1"/>
          <w:szCs w:val="22"/>
        </w:rPr>
        <w:t>1</w:t>
      </w:r>
      <w:r w:rsidRPr="00A217D6">
        <w:rPr>
          <w:rFonts w:cs="Arial"/>
          <w:color w:val="000000" w:themeColor="text1"/>
          <w:szCs w:val="22"/>
        </w:rPr>
        <w:t xml:space="preserve"> </w:t>
      </w:r>
      <w:r w:rsidR="00A96878" w:rsidRPr="00A217D6">
        <w:rPr>
          <w:rFonts w:cs="Arial"/>
          <w:color w:val="000000" w:themeColor="text1"/>
          <w:szCs w:val="22"/>
        </w:rPr>
        <w:t xml:space="preserve">February </w:t>
      </w:r>
      <w:r w:rsidRPr="00A217D6">
        <w:rPr>
          <w:rFonts w:cs="Arial"/>
          <w:color w:val="000000" w:themeColor="text1"/>
          <w:szCs w:val="22"/>
        </w:rPr>
        <w:t>20</w:t>
      </w:r>
      <w:r w:rsidR="00A57190" w:rsidRPr="00A217D6">
        <w:rPr>
          <w:rFonts w:cs="Arial"/>
          <w:color w:val="000000" w:themeColor="text1"/>
          <w:szCs w:val="22"/>
        </w:rPr>
        <w:t>1</w:t>
      </w:r>
      <w:r w:rsidR="00A96878" w:rsidRPr="00A217D6">
        <w:rPr>
          <w:rFonts w:cs="Arial"/>
          <w:color w:val="000000" w:themeColor="text1"/>
          <w:szCs w:val="22"/>
        </w:rPr>
        <w:t>6</w:t>
      </w:r>
      <w:r w:rsidRPr="00A217D6">
        <w:rPr>
          <w:rFonts w:cs="Arial"/>
          <w:color w:val="000000" w:themeColor="text1"/>
          <w:szCs w:val="22"/>
        </w:rPr>
        <w:t>. The dividen</w:t>
      </w:r>
      <w:r w:rsidR="00ED4E93" w:rsidRPr="00A217D6">
        <w:rPr>
          <w:rFonts w:cs="Arial"/>
          <w:color w:val="000000" w:themeColor="text1"/>
          <w:szCs w:val="22"/>
        </w:rPr>
        <w:t>d w</w:t>
      </w:r>
      <w:r w:rsidR="00A96878" w:rsidRPr="00A217D6">
        <w:rPr>
          <w:rFonts w:cs="Arial"/>
          <w:color w:val="000000" w:themeColor="text1"/>
          <w:szCs w:val="22"/>
        </w:rPr>
        <w:t>ill be</w:t>
      </w:r>
      <w:r w:rsidR="00ED4E93" w:rsidRPr="00A217D6">
        <w:rPr>
          <w:rFonts w:cs="Arial"/>
          <w:color w:val="000000" w:themeColor="text1"/>
          <w:szCs w:val="22"/>
        </w:rPr>
        <w:t xml:space="preserve"> paid to S</w:t>
      </w:r>
      <w:r w:rsidR="00A57190" w:rsidRPr="00A217D6">
        <w:rPr>
          <w:rFonts w:cs="Arial"/>
          <w:color w:val="000000" w:themeColor="text1"/>
          <w:szCs w:val="22"/>
        </w:rPr>
        <w:t xml:space="preserve">hareholders on </w:t>
      </w:r>
      <w:r w:rsidR="00A96878" w:rsidRPr="00A217D6">
        <w:rPr>
          <w:rFonts w:cs="Arial"/>
          <w:color w:val="000000" w:themeColor="text1"/>
          <w:szCs w:val="22"/>
        </w:rPr>
        <w:t xml:space="preserve">26 February </w:t>
      </w:r>
      <w:r w:rsidR="00A57190" w:rsidRPr="00A217D6">
        <w:rPr>
          <w:rFonts w:cs="Arial"/>
          <w:color w:val="000000" w:themeColor="text1"/>
          <w:szCs w:val="22"/>
        </w:rPr>
        <w:t>201</w:t>
      </w:r>
      <w:r w:rsidR="00A96878" w:rsidRPr="00A217D6">
        <w:rPr>
          <w:rFonts w:cs="Arial"/>
          <w:color w:val="000000" w:themeColor="text1"/>
          <w:szCs w:val="22"/>
        </w:rPr>
        <w:t>6</w:t>
      </w:r>
      <w:r w:rsidRPr="00A217D6">
        <w:rPr>
          <w:rFonts w:cs="Arial"/>
          <w:color w:val="000000" w:themeColor="text1"/>
          <w:szCs w:val="22"/>
        </w:rPr>
        <w:t>.</w:t>
      </w:r>
    </w:p>
    <w:p w14:paraId="799BC98F" w14:textId="77777777" w:rsidR="00590EE9" w:rsidRDefault="00590EE9" w:rsidP="00261BD5">
      <w:pPr>
        <w:widowControl w:val="0"/>
        <w:autoSpaceDE w:val="0"/>
        <w:autoSpaceDN w:val="0"/>
        <w:adjustRightInd w:val="0"/>
        <w:ind w:right="391"/>
        <w:contextualSpacing/>
        <w:jc w:val="both"/>
        <w:rPr>
          <w:rFonts w:cs="Arial"/>
          <w:b/>
          <w:bCs/>
          <w:szCs w:val="22"/>
        </w:rPr>
      </w:pPr>
    </w:p>
    <w:p w14:paraId="68906B95" w14:textId="77777777" w:rsidR="001A5BDB" w:rsidRPr="00DA0685" w:rsidRDefault="001A5BDB" w:rsidP="00261BD5">
      <w:pPr>
        <w:widowControl w:val="0"/>
        <w:autoSpaceDE w:val="0"/>
        <w:autoSpaceDN w:val="0"/>
        <w:adjustRightInd w:val="0"/>
        <w:ind w:right="391"/>
        <w:contextualSpacing/>
        <w:jc w:val="both"/>
        <w:rPr>
          <w:rFonts w:cs="Arial"/>
          <w:b/>
          <w:bCs/>
          <w:szCs w:val="22"/>
        </w:rPr>
      </w:pPr>
      <w:r w:rsidRPr="00DA0685">
        <w:rPr>
          <w:rFonts w:cs="Arial"/>
          <w:b/>
          <w:bCs/>
          <w:szCs w:val="22"/>
        </w:rPr>
        <w:t>STATEMENT OF DIRECTORS' RESPONSIBILITIES</w:t>
      </w:r>
    </w:p>
    <w:p w14:paraId="077C1E0E" w14:textId="77777777" w:rsidR="001A5BDB" w:rsidRDefault="001A5BDB" w:rsidP="00261BD5">
      <w:pPr>
        <w:widowControl w:val="0"/>
        <w:autoSpaceDE w:val="0"/>
        <w:autoSpaceDN w:val="0"/>
        <w:adjustRightInd w:val="0"/>
        <w:spacing w:after="240"/>
        <w:ind w:right="391"/>
        <w:contextualSpacing/>
        <w:jc w:val="both"/>
        <w:rPr>
          <w:rFonts w:cs="Arial"/>
          <w:szCs w:val="22"/>
        </w:rPr>
      </w:pPr>
      <w:r w:rsidRPr="00DA0685">
        <w:rPr>
          <w:rFonts w:cs="Arial"/>
          <w:szCs w:val="22"/>
        </w:rPr>
        <w:t xml:space="preserve">The Board of Directors </w:t>
      </w:r>
      <w:proofErr w:type="gramStart"/>
      <w:r w:rsidRPr="00DA0685">
        <w:rPr>
          <w:rFonts w:cs="Arial"/>
          <w:szCs w:val="22"/>
        </w:rPr>
        <w:t>are</w:t>
      </w:r>
      <w:proofErr w:type="gramEnd"/>
      <w:r w:rsidRPr="00DA0685">
        <w:rPr>
          <w:rFonts w:cs="Arial"/>
          <w:szCs w:val="22"/>
        </w:rPr>
        <w:t xml:space="preserve"> responsible for preparing the Ann</w:t>
      </w:r>
      <w:r w:rsidR="0083673B" w:rsidRPr="00DA0685">
        <w:rPr>
          <w:rFonts w:cs="Arial"/>
          <w:szCs w:val="22"/>
        </w:rPr>
        <w:t>u</w:t>
      </w:r>
      <w:r w:rsidRPr="00DA0685">
        <w:rPr>
          <w:rFonts w:cs="Arial"/>
          <w:szCs w:val="22"/>
        </w:rPr>
        <w:t>al Report and the Financial Statements in accordance with applicable law and regulations.</w:t>
      </w:r>
    </w:p>
    <w:p w14:paraId="4860EDD6" w14:textId="77777777" w:rsidR="00261BD5" w:rsidRPr="00DA0685" w:rsidRDefault="00261BD5" w:rsidP="00261BD5">
      <w:pPr>
        <w:widowControl w:val="0"/>
        <w:autoSpaceDE w:val="0"/>
        <w:autoSpaceDN w:val="0"/>
        <w:adjustRightInd w:val="0"/>
        <w:spacing w:after="240"/>
        <w:ind w:right="391"/>
        <w:contextualSpacing/>
        <w:jc w:val="both"/>
        <w:rPr>
          <w:rFonts w:cs="Arial"/>
          <w:szCs w:val="22"/>
        </w:rPr>
      </w:pPr>
    </w:p>
    <w:p w14:paraId="3F99BA48" w14:textId="178D7C46" w:rsidR="001A5BDB" w:rsidRPr="00DA0685" w:rsidRDefault="001A5BDB" w:rsidP="00261BD5">
      <w:pPr>
        <w:widowControl w:val="0"/>
        <w:autoSpaceDE w:val="0"/>
        <w:autoSpaceDN w:val="0"/>
        <w:adjustRightInd w:val="0"/>
        <w:spacing w:after="240"/>
        <w:ind w:right="391"/>
        <w:contextualSpacing/>
        <w:jc w:val="both"/>
        <w:rPr>
          <w:rFonts w:cs="Arial"/>
          <w:szCs w:val="22"/>
        </w:rPr>
      </w:pPr>
      <w:r w:rsidRPr="00DA0685">
        <w:rPr>
          <w:rFonts w:cs="Arial"/>
          <w:szCs w:val="22"/>
        </w:rPr>
        <w:t xml:space="preserve">Company law requires the Directors to prepare financial statements for each financial year. Under that law the Board of Directors have elected to prepare the </w:t>
      </w:r>
      <w:r w:rsidR="00590EE9" w:rsidRPr="00DA0685">
        <w:rPr>
          <w:rFonts w:cs="Arial"/>
          <w:szCs w:val="22"/>
        </w:rPr>
        <w:t>financial s</w:t>
      </w:r>
      <w:r w:rsidRPr="00DA0685">
        <w:rPr>
          <w:rFonts w:cs="Arial"/>
          <w:szCs w:val="22"/>
        </w:rPr>
        <w:t xml:space="preserve">tatements in accordance with US Generally Accepted Accounting Principles (“US GAAP”). The </w:t>
      </w:r>
      <w:r w:rsidR="00590EE9" w:rsidRPr="00DA0685">
        <w:rPr>
          <w:rFonts w:cs="Arial"/>
          <w:szCs w:val="22"/>
        </w:rPr>
        <w:t>financial s</w:t>
      </w:r>
      <w:r w:rsidRPr="00DA0685">
        <w:rPr>
          <w:rFonts w:cs="Arial"/>
          <w:szCs w:val="22"/>
        </w:rPr>
        <w:t xml:space="preserve">tatements are required by the Bermuda Companies Act 1981 to </w:t>
      </w:r>
      <w:r w:rsidR="009E53AF">
        <w:rPr>
          <w:rFonts w:cs="Arial"/>
          <w:szCs w:val="22"/>
        </w:rPr>
        <w:t>present fairly in all material respects</w:t>
      </w:r>
      <w:r w:rsidRPr="00DA0685">
        <w:rPr>
          <w:rFonts w:cs="Arial"/>
          <w:szCs w:val="22"/>
        </w:rPr>
        <w:t xml:space="preserve"> the state of affairs of the Company and of the profit or loss of the Company for that year. In preparing these </w:t>
      </w:r>
      <w:r w:rsidR="00590EE9" w:rsidRPr="00DA0685">
        <w:rPr>
          <w:rFonts w:cs="Arial"/>
          <w:szCs w:val="22"/>
        </w:rPr>
        <w:t>financial s</w:t>
      </w:r>
      <w:r w:rsidRPr="00DA0685">
        <w:rPr>
          <w:rFonts w:cs="Arial"/>
          <w:szCs w:val="22"/>
        </w:rPr>
        <w:t xml:space="preserve">tatements, the Board of Directors </w:t>
      </w:r>
      <w:proofErr w:type="gramStart"/>
      <w:r w:rsidRPr="00DA0685">
        <w:rPr>
          <w:rFonts w:cs="Arial"/>
          <w:szCs w:val="22"/>
        </w:rPr>
        <w:t>are</w:t>
      </w:r>
      <w:proofErr w:type="gramEnd"/>
      <w:r w:rsidRPr="00DA0685">
        <w:rPr>
          <w:rFonts w:cs="Arial"/>
          <w:szCs w:val="22"/>
        </w:rPr>
        <w:t xml:space="preserve"> required to:</w:t>
      </w:r>
    </w:p>
    <w:p w14:paraId="078C22AB" w14:textId="77777777" w:rsidR="001A5BDB" w:rsidRPr="00DA0685" w:rsidRDefault="001A5BDB" w:rsidP="000B0D31">
      <w:pPr>
        <w:pStyle w:val="ListParagraph"/>
        <w:widowControl w:val="0"/>
        <w:numPr>
          <w:ilvl w:val="0"/>
          <w:numId w:val="5"/>
        </w:numPr>
        <w:autoSpaceDE w:val="0"/>
        <w:autoSpaceDN w:val="0"/>
        <w:adjustRightInd w:val="0"/>
        <w:spacing w:after="240" w:line="240" w:lineRule="auto"/>
        <w:ind w:right="389"/>
        <w:jc w:val="both"/>
        <w:rPr>
          <w:rFonts w:ascii="Arial" w:hAnsi="Arial" w:cs="Arial"/>
        </w:rPr>
      </w:pPr>
      <w:r w:rsidRPr="00DA0685">
        <w:rPr>
          <w:rFonts w:ascii="Arial" w:hAnsi="Arial" w:cs="Arial"/>
        </w:rPr>
        <w:t xml:space="preserve">select suitable accounting policies and then apply them consistently; </w:t>
      </w:r>
    </w:p>
    <w:p w14:paraId="261AAAAD" w14:textId="77777777" w:rsidR="001A5BDB" w:rsidRPr="00DA0685" w:rsidRDefault="001A5BDB" w:rsidP="000B0D31">
      <w:pPr>
        <w:pStyle w:val="ListParagraph"/>
        <w:widowControl w:val="0"/>
        <w:numPr>
          <w:ilvl w:val="0"/>
          <w:numId w:val="5"/>
        </w:numPr>
        <w:autoSpaceDE w:val="0"/>
        <w:autoSpaceDN w:val="0"/>
        <w:adjustRightInd w:val="0"/>
        <w:spacing w:after="240" w:line="240" w:lineRule="auto"/>
        <w:ind w:right="389"/>
        <w:jc w:val="both"/>
        <w:rPr>
          <w:rFonts w:ascii="Arial" w:hAnsi="Arial" w:cs="Arial"/>
        </w:rPr>
      </w:pPr>
      <w:r w:rsidRPr="00DA0685">
        <w:rPr>
          <w:rFonts w:ascii="Arial" w:hAnsi="Arial" w:cs="Arial"/>
        </w:rPr>
        <w:t xml:space="preserve">make judgements and estimates that are reasonable and prudent; and </w:t>
      </w:r>
    </w:p>
    <w:p w14:paraId="68127D4C" w14:textId="77777777" w:rsidR="001A5BDB" w:rsidRPr="00DA0685" w:rsidRDefault="001A5BDB" w:rsidP="000B0D31">
      <w:pPr>
        <w:pStyle w:val="ListParagraph"/>
        <w:widowControl w:val="0"/>
        <w:numPr>
          <w:ilvl w:val="0"/>
          <w:numId w:val="5"/>
        </w:numPr>
        <w:autoSpaceDE w:val="0"/>
        <w:autoSpaceDN w:val="0"/>
        <w:adjustRightInd w:val="0"/>
        <w:spacing w:after="240" w:line="240" w:lineRule="auto"/>
        <w:ind w:right="389"/>
        <w:jc w:val="both"/>
        <w:rPr>
          <w:rFonts w:ascii="Arial" w:hAnsi="Arial" w:cs="Arial"/>
        </w:rPr>
      </w:pPr>
      <w:proofErr w:type="gramStart"/>
      <w:r w:rsidRPr="00DA0685">
        <w:rPr>
          <w:rFonts w:ascii="Arial" w:hAnsi="Arial" w:cs="Arial"/>
        </w:rPr>
        <w:t>state</w:t>
      </w:r>
      <w:proofErr w:type="gramEnd"/>
      <w:r w:rsidRPr="00DA0685">
        <w:rPr>
          <w:rFonts w:ascii="Arial" w:hAnsi="Arial" w:cs="Arial"/>
        </w:rPr>
        <w:t xml:space="preserve"> whether applicable Accounting Standards have been followed, subject to any material departures disclosed and explained in the financial statements. </w:t>
      </w:r>
    </w:p>
    <w:p w14:paraId="285DAD45" w14:textId="77777777" w:rsidR="00A57190" w:rsidRPr="00DA0685" w:rsidRDefault="001A5BDB" w:rsidP="00591815">
      <w:pPr>
        <w:widowControl w:val="0"/>
        <w:autoSpaceDE w:val="0"/>
        <w:autoSpaceDN w:val="0"/>
        <w:adjustRightInd w:val="0"/>
        <w:spacing w:after="240"/>
        <w:ind w:right="389"/>
        <w:jc w:val="both"/>
        <w:rPr>
          <w:rFonts w:cs="Arial"/>
          <w:szCs w:val="22"/>
        </w:rPr>
      </w:pPr>
      <w:r w:rsidRPr="00DA0685">
        <w:rPr>
          <w:rFonts w:cs="Arial"/>
          <w:szCs w:val="22"/>
        </w:rPr>
        <w:t xml:space="preserve">The Directors are responsible for keeping proper accounting records that are sufficient to disclose the Company’s transactions and that disclose with reasonable accuracy at any time the financial position of the Company and enable them to ensure that the </w:t>
      </w:r>
      <w:r w:rsidR="00590EE9" w:rsidRPr="00DA0685">
        <w:rPr>
          <w:rFonts w:cs="Arial"/>
          <w:szCs w:val="22"/>
        </w:rPr>
        <w:t>financial s</w:t>
      </w:r>
      <w:r w:rsidRPr="00DA0685">
        <w:rPr>
          <w:rFonts w:cs="Arial"/>
          <w:szCs w:val="22"/>
        </w:rPr>
        <w:t>tatements comply with the Bermuda Companies Act. They are also responsible for safeguarding the assets of the Company and hence for taking reasonable steps for the prevention and detection of fraud and other irregularities.</w:t>
      </w:r>
    </w:p>
    <w:p w14:paraId="2CCCEFAF" w14:textId="072347C7" w:rsidR="001A5BDB" w:rsidRPr="00DA0685" w:rsidRDefault="001A5BDB" w:rsidP="00591815">
      <w:pPr>
        <w:widowControl w:val="0"/>
        <w:autoSpaceDE w:val="0"/>
        <w:autoSpaceDN w:val="0"/>
        <w:adjustRightInd w:val="0"/>
        <w:spacing w:after="240"/>
        <w:ind w:right="389"/>
        <w:jc w:val="both"/>
        <w:rPr>
          <w:rFonts w:cs="Arial"/>
          <w:szCs w:val="22"/>
        </w:rPr>
      </w:pPr>
      <w:r w:rsidRPr="00DA0685">
        <w:rPr>
          <w:rFonts w:cs="Arial"/>
          <w:szCs w:val="22"/>
        </w:rPr>
        <w:t xml:space="preserve">The Directors consider that </w:t>
      </w:r>
      <w:r w:rsidR="009E53AF">
        <w:rPr>
          <w:rFonts w:cs="Arial"/>
          <w:szCs w:val="22"/>
        </w:rPr>
        <w:t xml:space="preserve">the </w:t>
      </w:r>
      <w:r w:rsidRPr="00DA0685">
        <w:rPr>
          <w:rFonts w:cs="Arial"/>
          <w:szCs w:val="22"/>
        </w:rPr>
        <w:t xml:space="preserve">Annual Report and Financial Statements taken as a whole, are fair, balanced and understandable, and provide the information necessary for Shareholders to assess the Company’s performance, business model and strategy. </w:t>
      </w:r>
    </w:p>
    <w:p w14:paraId="4D13C837" w14:textId="59B3413F" w:rsidR="001A5BDB" w:rsidRPr="00DA0685" w:rsidRDefault="001A5BDB" w:rsidP="00591815">
      <w:pPr>
        <w:widowControl w:val="0"/>
        <w:autoSpaceDE w:val="0"/>
        <w:autoSpaceDN w:val="0"/>
        <w:adjustRightInd w:val="0"/>
        <w:spacing w:after="240"/>
        <w:ind w:right="389"/>
        <w:jc w:val="both"/>
        <w:rPr>
          <w:rFonts w:cs="Arial"/>
          <w:szCs w:val="22"/>
        </w:rPr>
      </w:pPr>
      <w:r w:rsidRPr="00DA0685">
        <w:rPr>
          <w:rFonts w:cs="Arial"/>
          <w:szCs w:val="22"/>
        </w:rPr>
        <w:t xml:space="preserve">The </w:t>
      </w:r>
      <w:r w:rsidR="00590EE9" w:rsidRPr="00DA0685">
        <w:rPr>
          <w:rFonts w:cs="Arial"/>
          <w:szCs w:val="22"/>
        </w:rPr>
        <w:t>financial s</w:t>
      </w:r>
      <w:r w:rsidRPr="00DA0685">
        <w:rPr>
          <w:rFonts w:cs="Arial"/>
          <w:szCs w:val="22"/>
        </w:rPr>
        <w:t xml:space="preserve">tatements will be published on www.catcoreoppsfund.com, which is maintained by the Investment Manager, </w:t>
      </w:r>
      <w:r w:rsidR="0076633B" w:rsidRPr="00DA0685">
        <w:rPr>
          <w:rFonts w:cs="Arial"/>
          <w:szCs w:val="22"/>
        </w:rPr>
        <w:t xml:space="preserve">Markel </w:t>
      </w:r>
      <w:r w:rsidRPr="00DA0685">
        <w:rPr>
          <w:rFonts w:cs="Arial"/>
          <w:szCs w:val="22"/>
        </w:rPr>
        <w:t xml:space="preserve">CATCo Investment Management Ltd. The maintenance and integrity of the website maintained by </w:t>
      </w:r>
      <w:r w:rsidR="0076633B" w:rsidRPr="00DA0685">
        <w:rPr>
          <w:rFonts w:cs="Arial"/>
          <w:szCs w:val="22"/>
        </w:rPr>
        <w:t xml:space="preserve">Markel </w:t>
      </w:r>
      <w:r w:rsidRPr="00DA0685">
        <w:rPr>
          <w:rFonts w:cs="Arial"/>
          <w:szCs w:val="22"/>
        </w:rPr>
        <w:t xml:space="preserve">CATCo Investment Management Ltd. is, so far as it relates to the Company, the responsibility of </w:t>
      </w:r>
      <w:r w:rsidR="0076633B" w:rsidRPr="00DA0685">
        <w:rPr>
          <w:rFonts w:cs="Arial"/>
          <w:szCs w:val="22"/>
        </w:rPr>
        <w:t xml:space="preserve">Markel </w:t>
      </w:r>
      <w:r w:rsidRPr="00DA0685">
        <w:rPr>
          <w:rFonts w:cs="Arial"/>
          <w:szCs w:val="22"/>
        </w:rPr>
        <w:t>CATCo Investment Management Ltd.</w:t>
      </w:r>
    </w:p>
    <w:p w14:paraId="0AF4D64D" w14:textId="77777777" w:rsidR="001A5BDB" w:rsidRPr="00DA0685" w:rsidRDefault="001A5BDB" w:rsidP="00591815">
      <w:pPr>
        <w:widowControl w:val="0"/>
        <w:autoSpaceDE w:val="0"/>
        <w:autoSpaceDN w:val="0"/>
        <w:adjustRightInd w:val="0"/>
        <w:spacing w:after="240"/>
        <w:ind w:right="389"/>
        <w:jc w:val="both"/>
        <w:rPr>
          <w:rFonts w:cs="Arial"/>
          <w:szCs w:val="22"/>
        </w:rPr>
      </w:pPr>
      <w:r w:rsidRPr="00DA0685">
        <w:rPr>
          <w:rFonts w:cs="Arial"/>
          <w:szCs w:val="22"/>
        </w:rPr>
        <w:t xml:space="preserve">The Board of Directors are responsible for the maintenance and integrity of the corporate and financial information included on the Company’s website. Legislation in Bermuda governing the preparation and dissemination of </w:t>
      </w:r>
      <w:r w:rsidR="00590EE9" w:rsidRPr="00DA0685">
        <w:rPr>
          <w:rFonts w:cs="Arial"/>
          <w:szCs w:val="22"/>
        </w:rPr>
        <w:t>financial s</w:t>
      </w:r>
      <w:r w:rsidRPr="00DA0685">
        <w:rPr>
          <w:rFonts w:cs="Arial"/>
          <w:szCs w:val="22"/>
        </w:rPr>
        <w:t>tatements may differ from legislation in other jurisdictions.</w:t>
      </w:r>
    </w:p>
    <w:p w14:paraId="6DCE0629" w14:textId="77777777" w:rsidR="001A5BDB" w:rsidRPr="00DA0685" w:rsidRDefault="001A5BDB" w:rsidP="00591815">
      <w:pPr>
        <w:widowControl w:val="0"/>
        <w:autoSpaceDE w:val="0"/>
        <w:autoSpaceDN w:val="0"/>
        <w:adjustRightInd w:val="0"/>
        <w:spacing w:after="240"/>
        <w:ind w:right="389"/>
        <w:jc w:val="both"/>
        <w:rPr>
          <w:rFonts w:cs="Arial"/>
          <w:szCs w:val="22"/>
        </w:rPr>
      </w:pPr>
      <w:r w:rsidRPr="00DA0685">
        <w:rPr>
          <w:rFonts w:cs="Arial"/>
          <w:szCs w:val="22"/>
        </w:rPr>
        <w:t xml:space="preserve">In accordance with Chapter 4 of the Disclosure and Transparency Rules, and to the best of their knowledge, each Director of CATCo Reinsurance Opportunities Fund Ltd. confirms that the </w:t>
      </w:r>
      <w:r w:rsidR="00590EE9" w:rsidRPr="00DA0685">
        <w:rPr>
          <w:rFonts w:cs="Arial"/>
          <w:szCs w:val="22"/>
        </w:rPr>
        <w:t>financial s</w:t>
      </w:r>
      <w:r w:rsidRPr="00DA0685">
        <w:rPr>
          <w:rFonts w:cs="Arial"/>
          <w:szCs w:val="22"/>
        </w:rPr>
        <w:t xml:space="preserve">tatements have been prepared in accordance with the applicable set of accounting standards and </w:t>
      </w:r>
      <w:r w:rsidR="00A57190" w:rsidRPr="00DA0685">
        <w:rPr>
          <w:rFonts w:cs="Arial"/>
          <w:szCs w:val="22"/>
        </w:rPr>
        <w:t xml:space="preserve">present fairly </w:t>
      </w:r>
      <w:r w:rsidRPr="00DA0685">
        <w:rPr>
          <w:rFonts w:cs="Arial"/>
          <w:szCs w:val="22"/>
        </w:rPr>
        <w:t>the assets, liabilities, financial position and profit or loss of the Company.</w:t>
      </w:r>
    </w:p>
    <w:p w14:paraId="13CF49F5" w14:textId="77777777" w:rsidR="001A5BDB" w:rsidRPr="00DA0685" w:rsidRDefault="001A5BDB" w:rsidP="00591815">
      <w:pPr>
        <w:widowControl w:val="0"/>
        <w:autoSpaceDE w:val="0"/>
        <w:autoSpaceDN w:val="0"/>
        <w:adjustRightInd w:val="0"/>
        <w:spacing w:after="240"/>
        <w:ind w:right="389"/>
        <w:jc w:val="both"/>
        <w:rPr>
          <w:rFonts w:cs="Arial"/>
          <w:szCs w:val="22"/>
        </w:rPr>
      </w:pPr>
      <w:r w:rsidRPr="00DA0685">
        <w:rPr>
          <w:rFonts w:cs="Arial"/>
          <w:szCs w:val="22"/>
        </w:rPr>
        <w:t xml:space="preserve">Furthermore, each Director </w:t>
      </w:r>
      <w:r w:rsidR="00A57190" w:rsidRPr="00DA0685">
        <w:rPr>
          <w:rFonts w:cs="Arial"/>
          <w:szCs w:val="22"/>
        </w:rPr>
        <w:t>confirms</w:t>
      </w:r>
      <w:r w:rsidRPr="00DA0685">
        <w:rPr>
          <w:rFonts w:cs="Arial"/>
          <w:szCs w:val="22"/>
        </w:rPr>
        <w:t xml:space="preserve"> that</w:t>
      </w:r>
      <w:r w:rsidR="00A57190" w:rsidRPr="00DA0685">
        <w:rPr>
          <w:rFonts w:cs="Arial"/>
          <w:szCs w:val="22"/>
        </w:rPr>
        <w:t>, to the best of his or her knowledge,</w:t>
      </w:r>
      <w:r w:rsidRPr="00DA0685">
        <w:rPr>
          <w:rFonts w:cs="Arial"/>
          <w:szCs w:val="22"/>
        </w:rPr>
        <w:t xml:space="preserve"> the report of the Directors includes a fair review</w:t>
      </w:r>
      <w:r w:rsidR="0083673B" w:rsidRPr="00DA0685">
        <w:rPr>
          <w:rFonts w:ascii="Gotham-Book" w:hAnsi="Gotham-Book" w:cs="Arial"/>
          <w:szCs w:val="22"/>
        </w:rPr>
        <w:t xml:space="preserve"> </w:t>
      </w:r>
      <w:r w:rsidRPr="00DA0685">
        <w:rPr>
          <w:rFonts w:cs="Arial"/>
          <w:szCs w:val="22"/>
        </w:rPr>
        <w:t>of the development and performance of the business and the position of the Company, together with a description of the principal risks and uncertainties that the Company faces.</w:t>
      </w:r>
    </w:p>
    <w:p w14:paraId="1255079C" w14:textId="29E53590" w:rsidR="001A5BDB" w:rsidRPr="00DA0685" w:rsidRDefault="008547AB" w:rsidP="00591815">
      <w:pPr>
        <w:widowControl w:val="0"/>
        <w:autoSpaceDE w:val="0"/>
        <w:autoSpaceDN w:val="0"/>
        <w:adjustRightInd w:val="0"/>
        <w:ind w:right="389"/>
        <w:rPr>
          <w:rFonts w:cs="Arial"/>
          <w:szCs w:val="22"/>
        </w:rPr>
      </w:pPr>
      <w:r>
        <w:rPr>
          <w:rFonts w:cs="Arial"/>
          <w:szCs w:val="22"/>
        </w:rPr>
        <w:t>Nigel Barton</w:t>
      </w:r>
    </w:p>
    <w:p w14:paraId="6311A9B6" w14:textId="5944AEA0" w:rsidR="001A5BDB" w:rsidRPr="00DA0685" w:rsidRDefault="001A5BDB" w:rsidP="00591815">
      <w:pPr>
        <w:widowControl w:val="0"/>
        <w:autoSpaceDE w:val="0"/>
        <w:autoSpaceDN w:val="0"/>
        <w:adjustRightInd w:val="0"/>
        <w:ind w:right="389"/>
        <w:rPr>
          <w:rFonts w:cs="Arial"/>
          <w:szCs w:val="22"/>
        </w:rPr>
      </w:pPr>
      <w:r w:rsidRPr="00DA0685">
        <w:rPr>
          <w:rFonts w:cs="Arial"/>
          <w:szCs w:val="22"/>
        </w:rPr>
        <w:t>Chairman</w:t>
      </w:r>
      <w:r w:rsidR="008547AB">
        <w:rPr>
          <w:rFonts w:cs="Arial"/>
          <w:szCs w:val="22"/>
        </w:rPr>
        <w:t xml:space="preserve">, </w:t>
      </w:r>
      <w:proofErr w:type="spellStart"/>
      <w:r w:rsidR="008547AB">
        <w:rPr>
          <w:rFonts w:cs="Arial"/>
          <w:szCs w:val="22"/>
        </w:rPr>
        <w:t>CATCo</w:t>
      </w:r>
      <w:proofErr w:type="spellEnd"/>
      <w:r w:rsidR="008547AB">
        <w:rPr>
          <w:rFonts w:cs="Arial"/>
          <w:szCs w:val="22"/>
        </w:rPr>
        <w:t xml:space="preserve"> Reinsurance Opportunities Fund</w:t>
      </w:r>
      <w:r w:rsidRPr="00DA0685">
        <w:rPr>
          <w:rFonts w:cs="Arial"/>
          <w:szCs w:val="22"/>
        </w:rPr>
        <w:t xml:space="preserve"> </w:t>
      </w:r>
      <w:r w:rsidR="008547AB">
        <w:rPr>
          <w:rFonts w:cs="Arial"/>
          <w:szCs w:val="22"/>
        </w:rPr>
        <w:t xml:space="preserve">Ltd. </w:t>
      </w:r>
    </w:p>
    <w:p w14:paraId="594BE24B" w14:textId="0A03E990" w:rsidR="0063718C" w:rsidRPr="0067084F" w:rsidRDefault="0076633B" w:rsidP="0067084F">
      <w:pPr>
        <w:widowControl w:val="0"/>
        <w:autoSpaceDE w:val="0"/>
        <w:autoSpaceDN w:val="0"/>
        <w:adjustRightInd w:val="0"/>
        <w:ind w:right="389"/>
        <w:rPr>
          <w:rFonts w:cs="Arial"/>
          <w:szCs w:val="22"/>
        </w:rPr>
      </w:pPr>
      <w:r w:rsidRPr="00DA0685">
        <w:rPr>
          <w:rFonts w:cs="Arial"/>
          <w:szCs w:val="22"/>
        </w:rPr>
        <w:t>19 February 2016</w:t>
      </w:r>
    </w:p>
    <w:p w14:paraId="4F3533EF" w14:textId="77777777" w:rsidR="0063718C" w:rsidRDefault="0063718C" w:rsidP="002A769A">
      <w:pPr>
        <w:rPr>
          <w:b/>
          <w:szCs w:val="22"/>
        </w:rPr>
      </w:pPr>
    </w:p>
    <w:p w14:paraId="5323FC26" w14:textId="77777777" w:rsidR="0067084F" w:rsidRDefault="0067084F" w:rsidP="002A769A">
      <w:pPr>
        <w:rPr>
          <w:b/>
          <w:szCs w:val="22"/>
        </w:rPr>
      </w:pPr>
    </w:p>
    <w:p w14:paraId="6B0648BC" w14:textId="152D6838" w:rsidR="001A1CCD" w:rsidRPr="009A6C20" w:rsidRDefault="00556FE6" w:rsidP="001A1CCD">
      <w:pPr>
        <w:rPr>
          <w:rFonts w:cs="Arial"/>
          <w:b/>
          <w:szCs w:val="22"/>
        </w:rPr>
      </w:pPr>
      <w:r w:rsidRPr="009A6C20">
        <w:rPr>
          <w:rFonts w:cs="Arial"/>
          <w:b/>
          <w:szCs w:val="22"/>
        </w:rPr>
        <w:t>AUDITED STATEMENT</w:t>
      </w:r>
      <w:r w:rsidR="00BD66D2" w:rsidRPr="009A6C20">
        <w:rPr>
          <w:rFonts w:cs="Arial"/>
          <w:b/>
          <w:szCs w:val="22"/>
        </w:rPr>
        <w:t>S</w:t>
      </w:r>
      <w:r w:rsidRPr="009A6C20">
        <w:rPr>
          <w:rFonts w:cs="Arial"/>
          <w:b/>
          <w:szCs w:val="22"/>
        </w:rPr>
        <w:t xml:space="preserve"> O</w:t>
      </w:r>
      <w:r w:rsidR="0067084F">
        <w:rPr>
          <w:rFonts w:cs="Arial"/>
          <w:b/>
          <w:szCs w:val="22"/>
        </w:rPr>
        <w:t xml:space="preserve">F ASSETS AND LIABILITIES </w:t>
      </w:r>
      <w:r w:rsidR="0067084F">
        <w:rPr>
          <w:rFonts w:cs="Arial"/>
          <w:b/>
          <w:szCs w:val="22"/>
        </w:rPr>
        <w:tab/>
      </w:r>
      <w:r w:rsidR="0067084F">
        <w:rPr>
          <w:rFonts w:cs="Arial"/>
          <w:b/>
          <w:szCs w:val="22"/>
        </w:rPr>
        <w:tab/>
      </w:r>
      <w:r w:rsidR="0067084F">
        <w:rPr>
          <w:rFonts w:cs="Arial"/>
          <w:b/>
          <w:szCs w:val="22"/>
        </w:rPr>
        <w:tab/>
      </w:r>
      <w:r w:rsidR="0067084F">
        <w:rPr>
          <w:rFonts w:cs="Arial"/>
          <w:b/>
          <w:szCs w:val="22"/>
        </w:rPr>
        <w:tab/>
      </w:r>
      <w:r w:rsidR="0067084F">
        <w:rPr>
          <w:rFonts w:cs="Arial"/>
          <w:b/>
          <w:szCs w:val="22"/>
        </w:rPr>
        <w:tab/>
      </w:r>
      <w:r w:rsidR="0067084F">
        <w:rPr>
          <w:rFonts w:cs="Arial"/>
          <w:b/>
          <w:szCs w:val="22"/>
        </w:rPr>
        <w:tab/>
      </w:r>
      <w:r w:rsidR="001A1CCD" w:rsidRPr="009A6C20">
        <w:rPr>
          <w:rFonts w:cs="Arial"/>
          <w:b/>
          <w:szCs w:val="22"/>
        </w:rPr>
        <w:tab/>
      </w:r>
      <w:r w:rsidR="001A1CCD" w:rsidRPr="009A6C20">
        <w:rPr>
          <w:rFonts w:cs="Arial"/>
          <w:b/>
          <w:szCs w:val="22"/>
        </w:rPr>
        <w:tab/>
      </w:r>
      <w:r w:rsidR="001A1CCD" w:rsidRPr="009A6C20">
        <w:rPr>
          <w:rFonts w:cs="Arial"/>
          <w:b/>
          <w:szCs w:val="22"/>
        </w:rPr>
        <w:tab/>
      </w:r>
      <w:r w:rsidR="001A1CCD" w:rsidRPr="009A6C20">
        <w:rPr>
          <w:rFonts w:cs="Arial"/>
          <w:b/>
          <w:szCs w:val="22"/>
        </w:rPr>
        <w:tab/>
      </w:r>
      <w:r w:rsidR="001A1CCD" w:rsidRPr="009A6C20">
        <w:rPr>
          <w:rFonts w:cs="Arial"/>
          <w:b/>
          <w:szCs w:val="22"/>
        </w:rPr>
        <w:tab/>
      </w:r>
      <w:r w:rsidR="001A1CCD" w:rsidRPr="009A6C20">
        <w:rPr>
          <w:rFonts w:cs="Arial"/>
          <w:b/>
          <w:szCs w:val="22"/>
        </w:rPr>
        <w:tab/>
      </w:r>
    </w:p>
    <w:tbl>
      <w:tblPr>
        <w:tblStyle w:val="TableGrid"/>
        <w:tblW w:w="0" w:type="auto"/>
        <w:tblLayout w:type="fixed"/>
        <w:tblLook w:val="04A0" w:firstRow="1" w:lastRow="0" w:firstColumn="1" w:lastColumn="0" w:noHBand="0" w:noVBand="1"/>
      </w:tblPr>
      <w:tblGrid>
        <w:gridCol w:w="4996"/>
        <w:gridCol w:w="1916"/>
        <w:gridCol w:w="2127"/>
      </w:tblGrid>
      <w:tr w:rsidR="001A1CCD" w:rsidRPr="009A6C20" w14:paraId="670FF31F" w14:textId="77777777" w:rsidTr="0067084F">
        <w:tc>
          <w:tcPr>
            <w:tcW w:w="4996" w:type="dxa"/>
          </w:tcPr>
          <w:p w14:paraId="6B2133AE" w14:textId="77777777" w:rsidR="001A1CCD" w:rsidRPr="009A6C20" w:rsidRDefault="001A1CCD" w:rsidP="001A1CCD">
            <w:pPr>
              <w:rPr>
                <w:rFonts w:cs="Arial"/>
                <w:i/>
                <w:szCs w:val="22"/>
              </w:rPr>
            </w:pPr>
            <w:r w:rsidRPr="009A6C20">
              <w:rPr>
                <w:rFonts w:cs="Arial"/>
                <w:i/>
                <w:szCs w:val="22"/>
              </w:rPr>
              <w:t>(Expressed in United States Dollars)</w:t>
            </w:r>
          </w:p>
        </w:tc>
        <w:tc>
          <w:tcPr>
            <w:tcW w:w="1916" w:type="dxa"/>
          </w:tcPr>
          <w:p w14:paraId="73C87CE3" w14:textId="0D3582E9" w:rsidR="001A1CCD" w:rsidRPr="009A6C20" w:rsidRDefault="001A1CCD" w:rsidP="00E3336E">
            <w:pPr>
              <w:jc w:val="center"/>
              <w:rPr>
                <w:rFonts w:cs="Arial"/>
                <w:b/>
                <w:szCs w:val="22"/>
              </w:rPr>
            </w:pPr>
            <w:r w:rsidRPr="009A6C20">
              <w:rPr>
                <w:rFonts w:cs="Arial"/>
                <w:b/>
                <w:szCs w:val="22"/>
              </w:rPr>
              <w:t>31 Dec</w:t>
            </w:r>
            <w:r w:rsidR="00BD66D2" w:rsidRPr="009A6C20">
              <w:rPr>
                <w:rFonts w:cs="Arial"/>
                <w:b/>
                <w:szCs w:val="22"/>
              </w:rPr>
              <w:t>ember</w:t>
            </w:r>
            <w:r w:rsidRPr="009A6C20">
              <w:rPr>
                <w:rFonts w:cs="Arial"/>
                <w:b/>
                <w:szCs w:val="22"/>
              </w:rPr>
              <w:t xml:space="preserve"> 201</w:t>
            </w:r>
            <w:r w:rsidR="00DB451D">
              <w:rPr>
                <w:rFonts w:cs="Arial"/>
                <w:b/>
                <w:szCs w:val="22"/>
              </w:rPr>
              <w:t>5</w:t>
            </w:r>
          </w:p>
        </w:tc>
        <w:tc>
          <w:tcPr>
            <w:tcW w:w="2127" w:type="dxa"/>
          </w:tcPr>
          <w:p w14:paraId="6D6C1935" w14:textId="6A02D81D" w:rsidR="001A1CCD" w:rsidRPr="009A6C20" w:rsidRDefault="001A1CCD" w:rsidP="00E3336E">
            <w:pPr>
              <w:jc w:val="center"/>
              <w:rPr>
                <w:rFonts w:cs="Arial"/>
                <w:b/>
                <w:szCs w:val="22"/>
              </w:rPr>
            </w:pPr>
            <w:r w:rsidRPr="009A6C20">
              <w:rPr>
                <w:rFonts w:cs="Arial"/>
                <w:b/>
                <w:szCs w:val="22"/>
              </w:rPr>
              <w:t>31 December 201</w:t>
            </w:r>
            <w:r w:rsidR="00DB451D">
              <w:rPr>
                <w:rFonts w:cs="Arial"/>
                <w:b/>
                <w:szCs w:val="22"/>
              </w:rPr>
              <w:t>4</w:t>
            </w:r>
          </w:p>
        </w:tc>
      </w:tr>
      <w:tr w:rsidR="001A1CCD" w:rsidRPr="009A6C20" w14:paraId="0D55EA39" w14:textId="77777777" w:rsidTr="0067084F">
        <w:tc>
          <w:tcPr>
            <w:tcW w:w="4996" w:type="dxa"/>
          </w:tcPr>
          <w:p w14:paraId="69EEE99D" w14:textId="77777777" w:rsidR="001A1CCD" w:rsidRPr="009A6C20" w:rsidRDefault="001A1CCD" w:rsidP="001A1CCD">
            <w:pPr>
              <w:rPr>
                <w:rFonts w:cs="Arial"/>
                <w:b/>
                <w:szCs w:val="22"/>
              </w:rPr>
            </w:pPr>
          </w:p>
        </w:tc>
        <w:tc>
          <w:tcPr>
            <w:tcW w:w="1916" w:type="dxa"/>
          </w:tcPr>
          <w:p w14:paraId="0D8527D2" w14:textId="77777777" w:rsidR="001A1CCD" w:rsidRPr="009A6C20" w:rsidRDefault="001A1CCD" w:rsidP="001A1CCD">
            <w:pPr>
              <w:jc w:val="right"/>
              <w:rPr>
                <w:rFonts w:cs="Arial"/>
                <w:b/>
                <w:szCs w:val="22"/>
              </w:rPr>
            </w:pPr>
          </w:p>
        </w:tc>
        <w:tc>
          <w:tcPr>
            <w:tcW w:w="2127" w:type="dxa"/>
          </w:tcPr>
          <w:p w14:paraId="48555976" w14:textId="77777777" w:rsidR="001A1CCD" w:rsidRPr="009A6C20" w:rsidRDefault="001A1CCD" w:rsidP="001A1CCD">
            <w:pPr>
              <w:jc w:val="right"/>
              <w:rPr>
                <w:rFonts w:cs="Arial"/>
                <w:b/>
                <w:szCs w:val="22"/>
              </w:rPr>
            </w:pPr>
          </w:p>
        </w:tc>
      </w:tr>
      <w:tr w:rsidR="001A1CCD" w:rsidRPr="009A6C20" w14:paraId="6BAEA116" w14:textId="77777777" w:rsidTr="0067084F">
        <w:tc>
          <w:tcPr>
            <w:tcW w:w="4996" w:type="dxa"/>
          </w:tcPr>
          <w:p w14:paraId="340744D4" w14:textId="77777777" w:rsidR="001A1CCD" w:rsidRPr="009A6C20" w:rsidRDefault="001A1CCD" w:rsidP="001A1CCD">
            <w:pPr>
              <w:rPr>
                <w:rFonts w:cs="Arial"/>
                <w:b/>
                <w:szCs w:val="22"/>
              </w:rPr>
            </w:pPr>
            <w:r w:rsidRPr="009A6C20">
              <w:rPr>
                <w:rFonts w:cs="Arial"/>
                <w:b/>
                <w:szCs w:val="22"/>
              </w:rPr>
              <w:t>Assets</w:t>
            </w:r>
          </w:p>
        </w:tc>
        <w:tc>
          <w:tcPr>
            <w:tcW w:w="1916" w:type="dxa"/>
          </w:tcPr>
          <w:p w14:paraId="15E854BB" w14:textId="77777777" w:rsidR="001A1CCD" w:rsidRPr="009A6C20" w:rsidRDefault="008B5648" w:rsidP="008B5648">
            <w:pPr>
              <w:jc w:val="center"/>
              <w:rPr>
                <w:rFonts w:cs="Arial"/>
                <w:b/>
                <w:szCs w:val="22"/>
              </w:rPr>
            </w:pPr>
            <w:r w:rsidRPr="009A6C20">
              <w:rPr>
                <w:rFonts w:cs="Arial"/>
                <w:b/>
                <w:szCs w:val="22"/>
              </w:rPr>
              <w:t>$</w:t>
            </w:r>
          </w:p>
        </w:tc>
        <w:tc>
          <w:tcPr>
            <w:tcW w:w="2127" w:type="dxa"/>
          </w:tcPr>
          <w:p w14:paraId="0D074A00" w14:textId="77777777" w:rsidR="001A1CCD" w:rsidRPr="009A6C20" w:rsidRDefault="008B5648" w:rsidP="008B5648">
            <w:pPr>
              <w:jc w:val="center"/>
              <w:rPr>
                <w:rFonts w:cs="Arial"/>
                <w:b/>
                <w:szCs w:val="22"/>
              </w:rPr>
            </w:pPr>
            <w:r w:rsidRPr="009A6C20">
              <w:rPr>
                <w:rFonts w:cs="Arial"/>
                <w:b/>
                <w:szCs w:val="22"/>
              </w:rPr>
              <w:t>$</w:t>
            </w:r>
          </w:p>
        </w:tc>
      </w:tr>
      <w:tr w:rsidR="00DD6532" w:rsidRPr="009A6C20" w14:paraId="478A5CE3" w14:textId="77777777" w:rsidTr="0067084F">
        <w:tc>
          <w:tcPr>
            <w:tcW w:w="4996" w:type="dxa"/>
          </w:tcPr>
          <w:p w14:paraId="63509505" w14:textId="77777777" w:rsidR="00DD6532" w:rsidRPr="009A6C20" w:rsidRDefault="00DD6532" w:rsidP="001A1CCD">
            <w:pPr>
              <w:rPr>
                <w:rFonts w:cs="Arial"/>
                <w:b/>
                <w:szCs w:val="22"/>
              </w:rPr>
            </w:pPr>
          </w:p>
        </w:tc>
        <w:tc>
          <w:tcPr>
            <w:tcW w:w="1916" w:type="dxa"/>
          </w:tcPr>
          <w:p w14:paraId="2571D1E3" w14:textId="77777777" w:rsidR="00DD6532" w:rsidRPr="009A6C20" w:rsidRDefault="00DD6532" w:rsidP="008B5648">
            <w:pPr>
              <w:jc w:val="center"/>
              <w:rPr>
                <w:rFonts w:cs="Arial"/>
                <w:b/>
                <w:szCs w:val="22"/>
              </w:rPr>
            </w:pPr>
          </w:p>
        </w:tc>
        <w:tc>
          <w:tcPr>
            <w:tcW w:w="2127" w:type="dxa"/>
          </w:tcPr>
          <w:p w14:paraId="1A8DA89D" w14:textId="77777777" w:rsidR="00DD6532" w:rsidRPr="009A6C20" w:rsidRDefault="00DD6532" w:rsidP="008B5648">
            <w:pPr>
              <w:jc w:val="center"/>
              <w:rPr>
                <w:rFonts w:cs="Arial"/>
                <w:b/>
                <w:szCs w:val="22"/>
              </w:rPr>
            </w:pPr>
          </w:p>
        </w:tc>
      </w:tr>
      <w:tr w:rsidR="001A1CCD" w:rsidRPr="009A6C20" w14:paraId="15E93D63" w14:textId="77777777" w:rsidTr="0067084F">
        <w:tc>
          <w:tcPr>
            <w:tcW w:w="4996" w:type="dxa"/>
          </w:tcPr>
          <w:p w14:paraId="4814EF0F" w14:textId="77777777" w:rsidR="001A1CCD" w:rsidRDefault="00DB451D" w:rsidP="001A1CCD">
            <w:pPr>
              <w:rPr>
                <w:rFonts w:cs="Arial"/>
                <w:szCs w:val="22"/>
              </w:rPr>
            </w:pPr>
            <w:r w:rsidRPr="009A6C20">
              <w:rPr>
                <w:rFonts w:cs="Arial"/>
                <w:szCs w:val="22"/>
              </w:rPr>
              <w:t>Investment</w:t>
            </w:r>
            <w:r>
              <w:rPr>
                <w:rFonts w:cs="Arial"/>
                <w:szCs w:val="22"/>
              </w:rPr>
              <w:t xml:space="preserve"> in CATCo Reinsurance Fund Ltd.</w:t>
            </w:r>
          </w:p>
          <w:p w14:paraId="2566C6F3" w14:textId="23056911" w:rsidR="00DB451D" w:rsidRPr="00DB451D" w:rsidRDefault="00DB451D" w:rsidP="001A1CCD">
            <w:pPr>
              <w:rPr>
                <w:rFonts w:cs="Arial"/>
                <w:szCs w:val="22"/>
              </w:rPr>
            </w:pPr>
            <w:r>
              <w:rPr>
                <w:rFonts w:cs="Arial"/>
                <w:szCs w:val="22"/>
              </w:rPr>
              <w:t xml:space="preserve">- </w:t>
            </w:r>
            <w:r w:rsidRPr="009A6C20">
              <w:rPr>
                <w:rFonts w:cs="Arial"/>
                <w:szCs w:val="22"/>
              </w:rPr>
              <w:t>CATCo Diversified Fund, at fair value</w:t>
            </w:r>
          </w:p>
        </w:tc>
        <w:tc>
          <w:tcPr>
            <w:tcW w:w="1916" w:type="dxa"/>
          </w:tcPr>
          <w:p w14:paraId="1A65B8FF" w14:textId="77777777" w:rsidR="00DB451D" w:rsidRDefault="00DB451D" w:rsidP="001A1CCD">
            <w:pPr>
              <w:jc w:val="right"/>
              <w:rPr>
                <w:rFonts w:cs="Arial"/>
                <w:szCs w:val="22"/>
              </w:rPr>
            </w:pPr>
          </w:p>
          <w:p w14:paraId="72EB18CA" w14:textId="79A3C266" w:rsidR="001A1CCD" w:rsidRPr="009A6C20" w:rsidRDefault="00DB451D" w:rsidP="001A1CCD">
            <w:pPr>
              <w:jc w:val="right"/>
              <w:rPr>
                <w:rFonts w:cs="Arial"/>
                <w:b/>
                <w:szCs w:val="22"/>
              </w:rPr>
            </w:pPr>
            <w:r w:rsidRPr="00DB451D">
              <w:rPr>
                <w:rFonts w:cs="Arial"/>
                <w:szCs w:val="22"/>
              </w:rPr>
              <w:t>347,516,987</w:t>
            </w:r>
          </w:p>
        </w:tc>
        <w:tc>
          <w:tcPr>
            <w:tcW w:w="2127" w:type="dxa"/>
          </w:tcPr>
          <w:p w14:paraId="505A11A9" w14:textId="77777777" w:rsidR="00DB451D" w:rsidRDefault="00DB451D" w:rsidP="001A1CCD">
            <w:pPr>
              <w:jc w:val="right"/>
              <w:rPr>
                <w:rFonts w:cs="Arial"/>
                <w:szCs w:val="22"/>
              </w:rPr>
            </w:pPr>
          </w:p>
          <w:p w14:paraId="4022E648" w14:textId="52BDA46F" w:rsidR="001A1CCD" w:rsidRPr="009A6C20" w:rsidRDefault="00DB451D" w:rsidP="001A1CCD">
            <w:pPr>
              <w:jc w:val="right"/>
              <w:rPr>
                <w:rFonts w:cs="Arial"/>
                <w:b/>
                <w:szCs w:val="22"/>
              </w:rPr>
            </w:pPr>
            <w:r>
              <w:rPr>
                <w:rFonts w:cs="Arial"/>
                <w:szCs w:val="22"/>
              </w:rPr>
              <w:t>363,800,160</w:t>
            </w:r>
          </w:p>
        </w:tc>
      </w:tr>
      <w:tr w:rsidR="00DB451D" w:rsidRPr="009A6C20" w14:paraId="439CABBD" w14:textId="77777777" w:rsidTr="0067084F">
        <w:tc>
          <w:tcPr>
            <w:tcW w:w="4996" w:type="dxa"/>
          </w:tcPr>
          <w:p w14:paraId="20C86534" w14:textId="2CD05C28" w:rsidR="00DB451D" w:rsidRPr="009A6C20" w:rsidRDefault="00DB451D" w:rsidP="001A1CCD">
            <w:pPr>
              <w:rPr>
                <w:rFonts w:cs="Arial"/>
                <w:szCs w:val="22"/>
              </w:rPr>
            </w:pPr>
            <w:r w:rsidRPr="009A6C20">
              <w:rPr>
                <w:rFonts w:cs="Arial"/>
                <w:szCs w:val="22"/>
              </w:rPr>
              <w:t>Cash and cash equivalents</w:t>
            </w:r>
          </w:p>
        </w:tc>
        <w:tc>
          <w:tcPr>
            <w:tcW w:w="1916" w:type="dxa"/>
          </w:tcPr>
          <w:p w14:paraId="42DF495E" w14:textId="506C2FFD" w:rsidR="00DB451D" w:rsidRPr="00DB451D" w:rsidRDefault="00DB451D" w:rsidP="00DB451D">
            <w:pPr>
              <w:jc w:val="right"/>
              <w:rPr>
                <w:rFonts w:cs="Arial"/>
                <w:szCs w:val="22"/>
              </w:rPr>
            </w:pPr>
            <w:r w:rsidRPr="00DB451D">
              <w:rPr>
                <w:rFonts w:cs="Arial"/>
                <w:szCs w:val="22"/>
              </w:rPr>
              <w:t xml:space="preserve">1,839,305 </w:t>
            </w:r>
          </w:p>
        </w:tc>
        <w:tc>
          <w:tcPr>
            <w:tcW w:w="2127" w:type="dxa"/>
          </w:tcPr>
          <w:p w14:paraId="0B0E6DF3" w14:textId="726A1765" w:rsidR="00DB451D" w:rsidRPr="009A6C20" w:rsidRDefault="00DB451D" w:rsidP="00E014DD">
            <w:pPr>
              <w:jc w:val="right"/>
              <w:rPr>
                <w:rFonts w:cs="Arial"/>
                <w:szCs w:val="22"/>
              </w:rPr>
            </w:pPr>
            <w:r>
              <w:rPr>
                <w:rFonts w:cs="Arial"/>
                <w:szCs w:val="22"/>
              </w:rPr>
              <w:t>106,162</w:t>
            </w:r>
          </w:p>
        </w:tc>
      </w:tr>
      <w:tr w:rsidR="00DB451D" w:rsidRPr="009A6C20" w14:paraId="43A15199" w14:textId="77777777" w:rsidTr="0067084F">
        <w:tc>
          <w:tcPr>
            <w:tcW w:w="4996" w:type="dxa"/>
          </w:tcPr>
          <w:p w14:paraId="7269C22E" w14:textId="77777777" w:rsidR="00DB451D" w:rsidRDefault="00DB451D" w:rsidP="001A1CCD">
            <w:pPr>
              <w:rPr>
                <w:rFonts w:cs="Arial"/>
                <w:szCs w:val="22"/>
              </w:rPr>
            </w:pPr>
            <w:r w:rsidRPr="00DB451D">
              <w:rPr>
                <w:rFonts w:cs="Arial"/>
                <w:szCs w:val="22"/>
              </w:rPr>
              <w:t xml:space="preserve">Advance subscription in Markel CATCo Reinsurance Fund Ltd. </w:t>
            </w:r>
          </w:p>
          <w:p w14:paraId="7FE46118" w14:textId="1644E7B8" w:rsidR="00DB451D" w:rsidRPr="00DB451D" w:rsidRDefault="00DB451D" w:rsidP="001A1CCD">
            <w:pPr>
              <w:rPr>
                <w:rFonts w:cs="Arial"/>
                <w:szCs w:val="22"/>
              </w:rPr>
            </w:pPr>
            <w:r>
              <w:rPr>
                <w:rFonts w:cs="Arial"/>
                <w:szCs w:val="22"/>
              </w:rPr>
              <w:t xml:space="preserve">- Markel </w:t>
            </w:r>
            <w:r w:rsidRPr="009A6C20">
              <w:rPr>
                <w:rFonts w:cs="Arial"/>
                <w:szCs w:val="22"/>
              </w:rPr>
              <w:t>CATCo Diversified Fund</w:t>
            </w:r>
          </w:p>
        </w:tc>
        <w:tc>
          <w:tcPr>
            <w:tcW w:w="1916" w:type="dxa"/>
          </w:tcPr>
          <w:p w14:paraId="27B70A4B" w14:textId="77777777" w:rsidR="00DB451D" w:rsidRDefault="00DB451D" w:rsidP="00DB451D">
            <w:pPr>
              <w:jc w:val="right"/>
              <w:rPr>
                <w:rFonts w:cs="Arial"/>
                <w:szCs w:val="22"/>
              </w:rPr>
            </w:pPr>
          </w:p>
          <w:p w14:paraId="34129618" w14:textId="77777777" w:rsidR="00DB451D" w:rsidRDefault="00DB451D" w:rsidP="00DB451D">
            <w:pPr>
              <w:jc w:val="right"/>
              <w:rPr>
                <w:rFonts w:cs="Arial"/>
                <w:szCs w:val="22"/>
              </w:rPr>
            </w:pPr>
          </w:p>
          <w:p w14:paraId="776DD83E" w14:textId="100194D3" w:rsidR="00DB451D" w:rsidRPr="009A6C20" w:rsidRDefault="00DB451D" w:rsidP="00DB451D">
            <w:pPr>
              <w:jc w:val="right"/>
              <w:rPr>
                <w:rFonts w:cs="Arial"/>
                <w:szCs w:val="22"/>
              </w:rPr>
            </w:pPr>
            <w:r>
              <w:rPr>
                <w:rFonts w:cs="Arial"/>
                <w:szCs w:val="22"/>
              </w:rPr>
              <w:t>88,000,000</w:t>
            </w:r>
          </w:p>
        </w:tc>
        <w:tc>
          <w:tcPr>
            <w:tcW w:w="2127" w:type="dxa"/>
          </w:tcPr>
          <w:p w14:paraId="2A646A58" w14:textId="77777777" w:rsidR="00DB451D" w:rsidRDefault="00DB451D" w:rsidP="00E014DD">
            <w:pPr>
              <w:jc w:val="right"/>
              <w:rPr>
                <w:rFonts w:cs="Arial"/>
                <w:szCs w:val="22"/>
              </w:rPr>
            </w:pPr>
          </w:p>
          <w:p w14:paraId="695085A9" w14:textId="77777777" w:rsidR="00DB451D" w:rsidRDefault="00DB451D" w:rsidP="00E014DD">
            <w:pPr>
              <w:jc w:val="right"/>
              <w:rPr>
                <w:rFonts w:cs="Arial"/>
                <w:szCs w:val="22"/>
              </w:rPr>
            </w:pPr>
          </w:p>
          <w:p w14:paraId="4C0DAC8C" w14:textId="5124A07A" w:rsidR="00DB451D" w:rsidRPr="009A6C20" w:rsidRDefault="00DB451D" w:rsidP="00E014DD">
            <w:pPr>
              <w:jc w:val="right"/>
              <w:rPr>
                <w:rFonts w:cs="Arial"/>
                <w:szCs w:val="22"/>
              </w:rPr>
            </w:pPr>
            <w:r>
              <w:rPr>
                <w:rFonts w:cs="Arial"/>
                <w:szCs w:val="22"/>
              </w:rPr>
              <w:t>-</w:t>
            </w:r>
          </w:p>
        </w:tc>
      </w:tr>
      <w:tr w:rsidR="00DB451D" w:rsidRPr="009A6C20" w14:paraId="45E94E43" w14:textId="77777777" w:rsidTr="0067084F">
        <w:tc>
          <w:tcPr>
            <w:tcW w:w="4996" w:type="dxa"/>
          </w:tcPr>
          <w:p w14:paraId="1EC43326" w14:textId="77777777" w:rsidR="00DB451D" w:rsidRPr="009A6C20" w:rsidRDefault="00DB451D" w:rsidP="001A1CCD">
            <w:pPr>
              <w:rPr>
                <w:rFonts w:cs="Arial"/>
                <w:b/>
                <w:szCs w:val="22"/>
              </w:rPr>
            </w:pPr>
            <w:r w:rsidRPr="009A6C20">
              <w:rPr>
                <w:rFonts w:cs="Arial"/>
                <w:szCs w:val="22"/>
              </w:rPr>
              <w:t>Other assets</w:t>
            </w:r>
          </w:p>
        </w:tc>
        <w:tc>
          <w:tcPr>
            <w:tcW w:w="1916" w:type="dxa"/>
          </w:tcPr>
          <w:p w14:paraId="67EB071A" w14:textId="38FEA319" w:rsidR="00DB451D" w:rsidRPr="009A6C20" w:rsidRDefault="00DB451D" w:rsidP="001A1CCD">
            <w:pPr>
              <w:jc w:val="right"/>
              <w:rPr>
                <w:rFonts w:cs="Arial"/>
                <w:szCs w:val="22"/>
              </w:rPr>
            </w:pPr>
            <w:r>
              <w:rPr>
                <w:rFonts w:cs="Arial"/>
                <w:szCs w:val="22"/>
              </w:rPr>
              <w:t>30,125</w:t>
            </w:r>
          </w:p>
        </w:tc>
        <w:tc>
          <w:tcPr>
            <w:tcW w:w="2127" w:type="dxa"/>
          </w:tcPr>
          <w:p w14:paraId="3E7C6988" w14:textId="3324FE04" w:rsidR="00DB451D" w:rsidRPr="009A6C20" w:rsidRDefault="00DB451D" w:rsidP="00E014DD">
            <w:pPr>
              <w:jc w:val="right"/>
              <w:rPr>
                <w:rFonts w:cs="Arial"/>
                <w:szCs w:val="22"/>
              </w:rPr>
            </w:pPr>
            <w:r>
              <w:rPr>
                <w:rFonts w:cs="Arial"/>
                <w:szCs w:val="22"/>
              </w:rPr>
              <w:t>30,566</w:t>
            </w:r>
          </w:p>
        </w:tc>
      </w:tr>
      <w:tr w:rsidR="00DB451D" w:rsidRPr="009A6C20" w14:paraId="722B5292" w14:textId="77777777" w:rsidTr="0067084F">
        <w:tc>
          <w:tcPr>
            <w:tcW w:w="4996" w:type="dxa"/>
          </w:tcPr>
          <w:p w14:paraId="226C4199" w14:textId="77777777" w:rsidR="00DB451D" w:rsidRPr="009A6C20" w:rsidRDefault="00DB451D" w:rsidP="001A1CCD">
            <w:pPr>
              <w:rPr>
                <w:rFonts w:cs="Arial"/>
                <w:szCs w:val="22"/>
              </w:rPr>
            </w:pPr>
          </w:p>
        </w:tc>
        <w:tc>
          <w:tcPr>
            <w:tcW w:w="1916" w:type="dxa"/>
          </w:tcPr>
          <w:p w14:paraId="2E1D5B95" w14:textId="77777777" w:rsidR="00DB451D" w:rsidRPr="009A6C20" w:rsidRDefault="00DB451D" w:rsidP="001A1CCD">
            <w:pPr>
              <w:jc w:val="right"/>
              <w:rPr>
                <w:rFonts w:cs="Arial"/>
                <w:szCs w:val="22"/>
              </w:rPr>
            </w:pPr>
          </w:p>
        </w:tc>
        <w:tc>
          <w:tcPr>
            <w:tcW w:w="2127" w:type="dxa"/>
          </w:tcPr>
          <w:p w14:paraId="374F242B" w14:textId="77777777" w:rsidR="00DB451D" w:rsidRPr="009A6C20" w:rsidRDefault="00DB451D" w:rsidP="00E014DD">
            <w:pPr>
              <w:jc w:val="right"/>
              <w:rPr>
                <w:rFonts w:cs="Arial"/>
                <w:szCs w:val="22"/>
              </w:rPr>
            </w:pPr>
          </w:p>
        </w:tc>
      </w:tr>
      <w:tr w:rsidR="00DB451D" w:rsidRPr="009A6C20" w14:paraId="6B61EF6C" w14:textId="77777777" w:rsidTr="0067084F">
        <w:tc>
          <w:tcPr>
            <w:tcW w:w="4996" w:type="dxa"/>
          </w:tcPr>
          <w:p w14:paraId="030B99CA" w14:textId="77777777" w:rsidR="00DB451D" w:rsidRPr="009A6C20" w:rsidRDefault="00DB451D" w:rsidP="00DD6532">
            <w:pPr>
              <w:rPr>
                <w:rFonts w:cs="Arial"/>
                <w:szCs w:val="22"/>
              </w:rPr>
            </w:pPr>
            <w:r w:rsidRPr="009A6C20">
              <w:rPr>
                <w:rFonts w:cs="Arial"/>
                <w:szCs w:val="22"/>
              </w:rPr>
              <w:t>Total assets</w:t>
            </w:r>
          </w:p>
        </w:tc>
        <w:tc>
          <w:tcPr>
            <w:tcW w:w="1916" w:type="dxa"/>
          </w:tcPr>
          <w:p w14:paraId="6F17797A" w14:textId="6889F950" w:rsidR="00DB451D" w:rsidRPr="009A6C20" w:rsidRDefault="00DB451D" w:rsidP="001A1CCD">
            <w:pPr>
              <w:jc w:val="right"/>
              <w:rPr>
                <w:rFonts w:cs="Arial"/>
                <w:szCs w:val="22"/>
              </w:rPr>
            </w:pPr>
            <w:r>
              <w:rPr>
                <w:rFonts w:cs="Arial"/>
                <w:szCs w:val="22"/>
              </w:rPr>
              <w:t>437,386,417</w:t>
            </w:r>
          </w:p>
        </w:tc>
        <w:tc>
          <w:tcPr>
            <w:tcW w:w="2127" w:type="dxa"/>
          </w:tcPr>
          <w:p w14:paraId="729C25C5" w14:textId="5C2B22B1" w:rsidR="00DB451D" w:rsidRPr="009A6C20" w:rsidRDefault="00DB451D" w:rsidP="00E014DD">
            <w:pPr>
              <w:jc w:val="right"/>
              <w:rPr>
                <w:rFonts w:cs="Arial"/>
                <w:szCs w:val="22"/>
              </w:rPr>
            </w:pPr>
            <w:r>
              <w:rPr>
                <w:rFonts w:cs="Arial"/>
                <w:szCs w:val="22"/>
              </w:rPr>
              <w:t>363,936,888</w:t>
            </w:r>
          </w:p>
        </w:tc>
      </w:tr>
      <w:tr w:rsidR="00DB451D" w:rsidRPr="009A6C20" w14:paraId="50B85076" w14:textId="77777777" w:rsidTr="0067084F">
        <w:tc>
          <w:tcPr>
            <w:tcW w:w="4996" w:type="dxa"/>
          </w:tcPr>
          <w:p w14:paraId="272B01FD" w14:textId="77777777" w:rsidR="00DB451D" w:rsidRPr="009A6C20" w:rsidRDefault="00DB451D" w:rsidP="001A1CCD">
            <w:pPr>
              <w:rPr>
                <w:rFonts w:cs="Arial"/>
                <w:szCs w:val="22"/>
              </w:rPr>
            </w:pPr>
          </w:p>
        </w:tc>
        <w:tc>
          <w:tcPr>
            <w:tcW w:w="1916" w:type="dxa"/>
          </w:tcPr>
          <w:p w14:paraId="37F81536" w14:textId="77777777" w:rsidR="00DB451D" w:rsidRPr="009A6C20" w:rsidRDefault="00DB451D" w:rsidP="001A1CCD">
            <w:pPr>
              <w:jc w:val="right"/>
              <w:rPr>
                <w:rFonts w:cs="Arial"/>
                <w:szCs w:val="22"/>
              </w:rPr>
            </w:pPr>
          </w:p>
        </w:tc>
        <w:tc>
          <w:tcPr>
            <w:tcW w:w="2127" w:type="dxa"/>
          </w:tcPr>
          <w:p w14:paraId="43528B57" w14:textId="77777777" w:rsidR="00DB451D" w:rsidRPr="009A6C20" w:rsidRDefault="00DB451D" w:rsidP="00E014DD">
            <w:pPr>
              <w:jc w:val="right"/>
              <w:rPr>
                <w:rFonts w:cs="Arial"/>
                <w:szCs w:val="22"/>
              </w:rPr>
            </w:pPr>
          </w:p>
        </w:tc>
      </w:tr>
      <w:tr w:rsidR="00DB451D" w:rsidRPr="009A6C20" w14:paraId="7BF816FF" w14:textId="77777777" w:rsidTr="0067084F">
        <w:tc>
          <w:tcPr>
            <w:tcW w:w="4996" w:type="dxa"/>
          </w:tcPr>
          <w:p w14:paraId="49F3A020" w14:textId="77777777" w:rsidR="00DB451D" w:rsidRPr="009A6C20" w:rsidRDefault="00DB451D" w:rsidP="001A1CCD">
            <w:pPr>
              <w:rPr>
                <w:rFonts w:cs="Arial"/>
                <w:b/>
                <w:szCs w:val="22"/>
              </w:rPr>
            </w:pPr>
          </w:p>
          <w:p w14:paraId="2252BCA0" w14:textId="77777777" w:rsidR="00DB451D" w:rsidRPr="009A6C20" w:rsidRDefault="00DB451D" w:rsidP="001A1CCD">
            <w:pPr>
              <w:rPr>
                <w:rFonts w:cs="Arial"/>
                <w:szCs w:val="22"/>
              </w:rPr>
            </w:pPr>
            <w:r w:rsidRPr="009A6C20">
              <w:rPr>
                <w:rFonts w:cs="Arial"/>
                <w:b/>
                <w:szCs w:val="22"/>
              </w:rPr>
              <w:t>Liabilities</w:t>
            </w:r>
          </w:p>
        </w:tc>
        <w:tc>
          <w:tcPr>
            <w:tcW w:w="1916" w:type="dxa"/>
          </w:tcPr>
          <w:p w14:paraId="5B1B0729" w14:textId="77777777" w:rsidR="00DB451D" w:rsidRPr="009A6C20" w:rsidRDefault="00DB451D" w:rsidP="001A1CCD">
            <w:pPr>
              <w:jc w:val="right"/>
              <w:rPr>
                <w:rFonts w:cs="Arial"/>
                <w:szCs w:val="22"/>
              </w:rPr>
            </w:pPr>
          </w:p>
        </w:tc>
        <w:tc>
          <w:tcPr>
            <w:tcW w:w="2127" w:type="dxa"/>
          </w:tcPr>
          <w:p w14:paraId="36EEA336" w14:textId="77777777" w:rsidR="00DB451D" w:rsidRPr="009A6C20" w:rsidRDefault="00DB451D" w:rsidP="00E014DD">
            <w:pPr>
              <w:jc w:val="right"/>
              <w:rPr>
                <w:rFonts w:cs="Arial"/>
                <w:szCs w:val="22"/>
              </w:rPr>
            </w:pPr>
          </w:p>
        </w:tc>
      </w:tr>
      <w:tr w:rsidR="00DB451D" w:rsidRPr="009A6C20" w14:paraId="5539AE14" w14:textId="77777777" w:rsidTr="0067084F">
        <w:tc>
          <w:tcPr>
            <w:tcW w:w="4996" w:type="dxa"/>
          </w:tcPr>
          <w:p w14:paraId="7797204E" w14:textId="77777777" w:rsidR="00DB451D" w:rsidRPr="009A6C20" w:rsidRDefault="00DB451D" w:rsidP="001A1CCD">
            <w:pPr>
              <w:rPr>
                <w:rFonts w:cs="Arial"/>
                <w:szCs w:val="22"/>
              </w:rPr>
            </w:pPr>
          </w:p>
        </w:tc>
        <w:tc>
          <w:tcPr>
            <w:tcW w:w="1916" w:type="dxa"/>
          </w:tcPr>
          <w:p w14:paraId="7BBF5149" w14:textId="77777777" w:rsidR="00DB451D" w:rsidRPr="009A6C20" w:rsidRDefault="00DB451D" w:rsidP="001A1CCD">
            <w:pPr>
              <w:jc w:val="right"/>
              <w:rPr>
                <w:rFonts w:cs="Arial"/>
                <w:szCs w:val="22"/>
              </w:rPr>
            </w:pPr>
          </w:p>
        </w:tc>
        <w:tc>
          <w:tcPr>
            <w:tcW w:w="2127" w:type="dxa"/>
          </w:tcPr>
          <w:p w14:paraId="759E4E95" w14:textId="77777777" w:rsidR="00DB451D" w:rsidRPr="009A6C20" w:rsidRDefault="00DB451D" w:rsidP="00E014DD">
            <w:pPr>
              <w:jc w:val="right"/>
              <w:rPr>
                <w:rFonts w:cs="Arial"/>
                <w:szCs w:val="22"/>
              </w:rPr>
            </w:pPr>
          </w:p>
        </w:tc>
      </w:tr>
      <w:tr w:rsidR="00DB451D" w:rsidRPr="009A6C20" w14:paraId="23C6F1BF" w14:textId="77777777" w:rsidTr="0067084F">
        <w:tc>
          <w:tcPr>
            <w:tcW w:w="4996" w:type="dxa"/>
          </w:tcPr>
          <w:p w14:paraId="20D80A29" w14:textId="77777777" w:rsidR="00DB451D" w:rsidRPr="009A6C20" w:rsidRDefault="00DB451D" w:rsidP="001A1CCD">
            <w:pPr>
              <w:rPr>
                <w:rFonts w:cs="Arial"/>
                <w:szCs w:val="22"/>
              </w:rPr>
            </w:pPr>
            <w:r w:rsidRPr="009A6C20">
              <w:rPr>
                <w:rFonts w:cs="Arial"/>
                <w:szCs w:val="22"/>
              </w:rPr>
              <w:t>Accrued expenses and other liabilities</w:t>
            </w:r>
            <w:r w:rsidRPr="009A6C20">
              <w:rPr>
                <w:rFonts w:cs="Arial"/>
                <w:szCs w:val="22"/>
              </w:rPr>
              <w:tab/>
            </w:r>
          </w:p>
        </w:tc>
        <w:tc>
          <w:tcPr>
            <w:tcW w:w="1916" w:type="dxa"/>
          </w:tcPr>
          <w:p w14:paraId="1B0A9905" w14:textId="1FFF7289" w:rsidR="00DB451D" w:rsidRPr="009A6C20" w:rsidRDefault="00DD6532" w:rsidP="001A1CCD">
            <w:pPr>
              <w:jc w:val="right"/>
              <w:rPr>
                <w:rFonts w:cs="Arial"/>
                <w:szCs w:val="22"/>
              </w:rPr>
            </w:pPr>
            <w:r>
              <w:rPr>
                <w:rFonts w:cs="Arial"/>
                <w:szCs w:val="22"/>
              </w:rPr>
              <w:t>282,989</w:t>
            </w:r>
          </w:p>
        </w:tc>
        <w:tc>
          <w:tcPr>
            <w:tcW w:w="2127" w:type="dxa"/>
          </w:tcPr>
          <w:p w14:paraId="009D0B4B" w14:textId="2CF52D69" w:rsidR="00DB451D" w:rsidRPr="009A6C20" w:rsidRDefault="00DD6532" w:rsidP="00E014DD">
            <w:pPr>
              <w:jc w:val="right"/>
              <w:rPr>
                <w:rFonts w:cs="Arial"/>
                <w:szCs w:val="22"/>
              </w:rPr>
            </w:pPr>
            <w:r>
              <w:rPr>
                <w:rFonts w:cs="Arial"/>
                <w:szCs w:val="22"/>
              </w:rPr>
              <w:t>211,261</w:t>
            </w:r>
          </w:p>
        </w:tc>
      </w:tr>
      <w:tr w:rsidR="00DB451D" w:rsidRPr="009A6C20" w14:paraId="68CA7FC8" w14:textId="77777777" w:rsidTr="0067084F">
        <w:tc>
          <w:tcPr>
            <w:tcW w:w="4996" w:type="dxa"/>
          </w:tcPr>
          <w:p w14:paraId="5A5E54CF" w14:textId="77777777" w:rsidR="00DB451D" w:rsidRPr="009A6C20" w:rsidRDefault="00DB451D" w:rsidP="001A1CCD">
            <w:pPr>
              <w:rPr>
                <w:rFonts w:cs="Arial"/>
                <w:szCs w:val="22"/>
              </w:rPr>
            </w:pPr>
          </w:p>
        </w:tc>
        <w:tc>
          <w:tcPr>
            <w:tcW w:w="1916" w:type="dxa"/>
          </w:tcPr>
          <w:p w14:paraId="6FE85D91" w14:textId="77777777" w:rsidR="00DB451D" w:rsidRPr="009A6C20" w:rsidRDefault="00DB451D" w:rsidP="001A1CCD">
            <w:pPr>
              <w:jc w:val="right"/>
              <w:rPr>
                <w:rFonts w:cs="Arial"/>
                <w:szCs w:val="22"/>
              </w:rPr>
            </w:pPr>
          </w:p>
        </w:tc>
        <w:tc>
          <w:tcPr>
            <w:tcW w:w="2127" w:type="dxa"/>
          </w:tcPr>
          <w:p w14:paraId="405A71BF" w14:textId="77777777" w:rsidR="00DB451D" w:rsidRPr="009A6C20" w:rsidRDefault="00DB451D" w:rsidP="00E014DD">
            <w:pPr>
              <w:jc w:val="right"/>
              <w:rPr>
                <w:rFonts w:cs="Arial"/>
                <w:szCs w:val="22"/>
              </w:rPr>
            </w:pPr>
          </w:p>
        </w:tc>
      </w:tr>
      <w:tr w:rsidR="00DB451D" w:rsidRPr="009A6C20" w14:paraId="43E4E051" w14:textId="77777777" w:rsidTr="0067084F">
        <w:tc>
          <w:tcPr>
            <w:tcW w:w="4996" w:type="dxa"/>
          </w:tcPr>
          <w:p w14:paraId="3B94FBDD" w14:textId="77777777" w:rsidR="00DB451D" w:rsidRPr="009A6C20" w:rsidRDefault="00DB451D" w:rsidP="001A1CCD">
            <w:pPr>
              <w:rPr>
                <w:rFonts w:cs="Arial"/>
                <w:szCs w:val="22"/>
              </w:rPr>
            </w:pPr>
            <w:r w:rsidRPr="009A6C20">
              <w:rPr>
                <w:rFonts w:cs="Arial"/>
                <w:szCs w:val="22"/>
              </w:rPr>
              <w:t>Total liabilities</w:t>
            </w:r>
            <w:r w:rsidRPr="009A6C20">
              <w:rPr>
                <w:rFonts w:cs="Arial"/>
                <w:szCs w:val="22"/>
              </w:rPr>
              <w:tab/>
            </w:r>
          </w:p>
        </w:tc>
        <w:tc>
          <w:tcPr>
            <w:tcW w:w="1916" w:type="dxa"/>
          </w:tcPr>
          <w:p w14:paraId="5D8F2FD0" w14:textId="106419A6" w:rsidR="00DB451D" w:rsidRPr="009A6C20" w:rsidRDefault="00DD6532" w:rsidP="001A1CCD">
            <w:pPr>
              <w:jc w:val="right"/>
              <w:rPr>
                <w:rFonts w:cs="Arial"/>
                <w:szCs w:val="22"/>
              </w:rPr>
            </w:pPr>
            <w:r>
              <w:rPr>
                <w:rFonts w:cs="Arial"/>
                <w:szCs w:val="22"/>
              </w:rPr>
              <w:t>282,989</w:t>
            </w:r>
          </w:p>
        </w:tc>
        <w:tc>
          <w:tcPr>
            <w:tcW w:w="2127" w:type="dxa"/>
          </w:tcPr>
          <w:p w14:paraId="592A394B" w14:textId="545C50D5" w:rsidR="00DB451D" w:rsidRPr="009A6C20" w:rsidRDefault="00DD6532" w:rsidP="00E014DD">
            <w:pPr>
              <w:jc w:val="right"/>
              <w:rPr>
                <w:rFonts w:cs="Arial"/>
                <w:szCs w:val="22"/>
              </w:rPr>
            </w:pPr>
            <w:r>
              <w:rPr>
                <w:rFonts w:cs="Arial"/>
                <w:szCs w:val="22"/>
              </w:rPr>
              <w:t>211,261</w:t>
            </w:r>
          </w:p>
        </w:tc>
      </w:tr>
      <w:tr w:rsidR="00DB451D" w:rsidRPr="009A6C20" w14:paraId="379EEC4A" w14:textId="77777777" w:rsidTr="0067084F">
        <w:tc>
          <w:tcPr>
            <w:tcW w:w="4996" w:type="dxa"/>
          </w:tcPr>
          <w:p w14:paraId="3E7E56BF" w14:textId="77777777" w:rsidR="00DB451D" w:rsidRPr="009A6C20" w:rsidRDefault="00DB451D" w:rsidP="001A1CCD">
            <w:pPr>
              <w:rPr>
                <w:rFonts w:cs="Arial"/>
                <w:szCs w:val="22"/>
              </w:rPr>
            </w:pPr>
          </w:p>
        </w:tc>
        <w:tc>
          <w:tcPr>
            <w:tcW w:w="1916" w:type="dxa"/>
          </w:tcPr>
          <w:p w14:paraId="0FD2B6A1" w14:textId="77777777" w:rsidR="00DB451D" w:rsidRPr="009A6C20" w:rsidRDefault="00DB451D" w:rsidP="001A1CCD">
            <w:pPr>
              <w:jc w:val="right"/>
              <w:rPr>
                <w:rFonts w:cs="Arial"/>
                <w:szCs w:val="22"/>
              </w:rPr>
            </w:pPr>
          </w:p>
        </w:tc>
        <w:tc>
          <w:tcPr>
            <w:tcW w:w="2127" w:type="dxa"/>
          </w:tcPr>
          <w:p w14:paraId="21B4FEC7" w14:textId="77777777" w:rsidR="00DB451D" w:rsidRPr="009A6C20" w:rsidRDefault="00DB451D" w:rsidP="00E014DD">
            <w:pPr>
              <w:jc w:val="right"/>
              <w:rPr>
                <w:rFonts w:cs="Arial"/>
                <w:szCs w:val="22"/>
              </w:rPr>
            </w:pPr>
          </w:p>
        </w:tc>
      </w:tr>
      <w:tr w:rsidR="00DB451D" w:rsidRPr="009A6C20" w14:paraId="64D1B793" w14:textId="77777777" w:rsidTr="0067084F">
        <w:tc>
          <w:tcPr>
            <w:tcW w:w="4996" w:type="dxa"/>
          </w:tcPr>
          <w:p w14:paraId="3B46B3C8" w14:textId="77777777" w:rsidR="00DB451D" w:rsidRPr="009A6C20" w:rsidRDefault="00DB451D" w:rsidP="001A1CCD">
            <w:pPr>
              <w:rPr>
                <w:rFonts w:cs="Arial"/>
                <w:szCs w:val="22"/>
              </w:rPr>
            </w:pPr>
            <w:r w:rsidRPr="009A6C20">
              <w:rPr>
                <w:rFonts w:cs="Arial"/>
                <w:b/>
                <w:szCs w:val="22"/>
              </w:rPr>
              <w:t>Net assets</w:t>
            </w:r>
          </w:p>
        </w:tc>
        <w:tc>
          <w:tcPr>
            <w:tcW w:w="1916" w:type="dxa"/>
          </w:tcPr>
          <w:p w14:paraId="226BC185" w14:textId="3751C6C7" w:rsidR="00DB451D" w:rsidRPr="009A6C20" w:rsidRDefault="00DD6532" w:rsidP="001A1CCD">
            <w:pPr>
              <w:jc w:val="right"/>
              <w:rPr>
                <w:rFonts w:cs="Arial"/>
                <w:szCs w:val="22"/>
              </w:rPr>
            </w:pPr>
            <w:r>
              <w:rPr>
                <w:rFonts w:cs="Arial"/>
                <w:szCs w:val="22"/>
              </w:rPr>
              <w:t>437,103,428</w:t>
            </w:r>
          </w:p>
        </w:tc>
        <w:tc>
          <w:tcPr>
            <w:tcW w:w="2127" w:type="dxa"/>
          </w:tcPr>
          <w:p w14:paraId="1AEBD832" w14:textId="5709E132" w:rsidR="00DB451D" w:rsidRPr="009A6C20" w:rsidRDefault="00DD6532" w:rsidP="00E014DD">
            <w:pPr>
              <w:jc w:val="right"/>
              <w:rPr>
                <w:rFonts w:cs="Arial"/>
                <w:szCs w:val="22"/>
              </w:rPr>
            </w:pPr>
            <w:r>
              <w:rPr>
                <w:rFonts w:cs="Arial"/>
                <w:szCs w:val="22"/>
              </w:rPr>
              <w:t>363,725,627</w:t>
            </w:r>
          </w:p>
        </w:tc>
      </w:tr>
    </w:tbl>
    <w:p w14:paraId="37CF0E6F" w14:textId="77777777" w:rsidR="00476954" w:rsidRPr="009A6C20" w:rsidRDefault="00476954" w:rsidP="001A1CCD">
      <w:pPr>
        <w:rPr>
          <w:rFonts w:cs="Arial"/>
          <w:szCs w:val="22"/>
        </w:rPr>
      </w:pPr>
    </w:p>
    <w:p w14:paraId="1D698CFE" w14:textId="77777777" w:rsidR="001A1CCD" w:rsidRPr="009A6C20" w:rsidRDefault="0063718C" w:rsidP="001A1CCD">
      <w:pPr>
        <w:rPr>
          <w:rFonts w:cs="Arial"/>
          <w:szCs w:val="22"/>
        </w:rPr>
      </w:pPr>
      <w:r w:rsidRPr="009A6C20">
        <w:rPr>
          <w:rFonts w:cs="Arial"/>
          <w:szCs w:val="22"/>
        </w:rPr>
        <w:t>NAV per Share (See N</w:t>
      </w:r>
      <w:r w:rsidR="00476954" w:rsidRPr="009A6C20">
        <w:rPr>
          <w:rFonts w:cs="Arial"/>
          <w:szCs w:val="22"/>
        </w:rPr>
        <w:t>ote 6)</w:t>
      </w:r>
      <w:r w:rsidR="001A1CCD" w:rsidRPr="009A6C20">
        <w:rPr>
          <w:rFonts w:cs="Arial"/>
          <w:szCs w:val="22"/>
        </w:rPr>
        <w:tab/>
      </w:r>
      <w:r w:rsidR="001A1CCD" w:rsidRPr="009A6C20">
        <w:rPr>
          <w:rFonts w:cs="Arial"/>
          <w:szCs w:val="22"/>
        </w:rPr>
        <w:tab/>
      </w:r>
      <w:r w:rsidR="001A1CCD" w:rsidRPr="009A6C20">
        <w:rPr>
          <w:rFonts w:cs="Arial"/>
          <w:szCs w:val="22"/>
        </w:rPr>
        <w:tab/>
      </w:r>
      <w:r w:rsidR="001A1CCD" w:rsidRPr="009A6C20">
        <w:rPr>
          <w:rFonts w:cs="Arial"/>
          <w:szCs w:val="22"/>
        </w:rPr>
        <w:tab/>
      </w:r>
      <w:r w:rsidR="001A1CCD" w:rsidRPr="009A6C20">
        <w:rPr>
          <w:rFonts w:cs="Arial"/>
          <w:szCs w:val="22"/>
        </w:rPr>
        <w:tab/>
      </w:r>
    </w:p>
    <w:p w14:paraId="7552A1D8" w14:textId="77777777" w:rsidR="001A1CCD" w:rsidRPr="009A6C20" w:rsidRDefault="001A1CCD" w:rsidP="001A1CCD">
      <w:pPr>
        <w:rPr>
          <w:rFonts w:cs="Arial"/>
          <w:szCs w:val="22"/>
        </w:rPr>
      </w:pPr>
    </w:p>
    <w:p w14:paraId="7E17D6CC" w14:textId="77777777" w:rsidR="001A1CCD" w:rsidRPr="009A6C20" w:rsidRDefault="0063718C" w:rsidP="001A1CCD">
      <w:pPr>
        <w:rPr>
          <w:rFonts w:cs="Arial"/>
          <w:szCs w:val="22"/>
        </w:rPr>
      </w:pPr>
      <w:r w:rsidRPr="009A6C20">
        <w:rPr>
          <w:rFonts w:cs="Arial"/>
          <w:szCs w:val="22"/>
        </w:rPr>
        <w:t>See accompanying N</w:t>
      </w:r>
      <w:r w:rsidR="001A1CCD" w:rsidRPr="009A6C20">
        <w:rPr>
          <w:rFonts w:cs="Arial"/>
          <w:szCs w:val="22"/>
        </w:rPr>
        <w:t xml:space="preserve">otes </w:t>
      </w:r>
      <w:r w:rsidR="004F53FA" w:rsidRPr="009A6C20">
        <w:rPr>
          <w:rFonts w:cs="Arial"/>
          <w:szCs w:val="22"/>
        </w:rPr>
        <w:t>to Financial Statements</w:t>
      </w:r>
    </w:p>
    <w:p w14:paraId="3536DFD8" w14:textId="77777777" w:rsidR="00EA000F" w:rsidRDefault="00EA000F" w:rsidP="001A1CCD">
      <w:pPr>
        <w:rPr>
          <w:b/>
          <w:szCs w:val="22"/>
        </w:rPr>
      </w:pPr>
    </w:p>
    <w:p w14:paraId="0DF36511" w14:textId="77777777" w:rsidR="0067084F" w:rsidRDefault="0067084F" w:rsidP="001A1CCD">
      <w:pPr>
        <w:rPr>
          <w:b/>
          <w:szCs w:val="22"/>
        </w:rPr>
      </w:pPr>
    </w:p>
    <w:p w14:paraId="15363C82" w14:textId="77777777" w:rsidR="003B6612" w:rsidRPr="009A6C20" w:rsidRDefault="00556FE6" w:rsidP="001A1CCD">
      <w:pPr>
        <w:rPr>
          <w:rFonts w:cs="Arial"/>
          <w:szCs w:val="22"/>
        </w:rPr>
      </w:pPr>
      <w:r w:rsidRPr="009A6C20">
        <w:rPr>
          <w:rFonts w:cs="Arial"/>
          <w:b/>
          <w:szCs w:val="22"/>
        </w:rPr>
        <w:t>AUDITED STATEMENT</w:t>
      </w:r>
      <w:r w:rsidR="00BD66D2" w:rsidRPr="009A6C20">
        <w:rPr>
          <w:rFonts w:cs="Arial"/>
          <w:b/>
          <w:szCs w:val="22"/>
        </w:rPr>
        <w:t>S</w:t>
      </w:r>
      <w:r w:rsidRPr="009A6C20">
        <w:rPr>
          <w:rFonts w:cs="Arial"/>
          <w:b/>
          <w:szCs w:val="22"/>
        </w:rPr>
        <w:t xml:space="preserve"> OF OPERATIONS </w:t>
      </w:r>
      <w:r w:rsidRPr="009A6C20">
        <w:rPr>
          <w:rFonts w:cs="Arial"/>
          <w:szCs w:val="22"/>
        </w:rPr>
        <w:tab/>
      </w:r>
      <w:r w:rsidRPr="009A6C20">
        <w:rPr>
          <w:rFonts w:cs="Arial"/>
          <w:szCs w:val="22"/>
        </w:rPr>
        <w:tab/>
      </w:r>
      <w:r w:rsidRPr="009A6C20">
        <w:rPr>
          <w:rFonts w:cs="Arial"/>
          <w:szCs w:val="22"/>
        </w:rPr>
        <w:tab/>
      </w:r>
      <w:r w:rsidRPr="009A6C20">
        <w:rPr>
          <w:rFonts w:cs="Arial"/>
          <w:szCs w:val="22"/>
        </w:rPr>
        <w:tab/>
      </w:r>
      <w:r w:rsidRPr="009A6C20">
        <w:rPr>
          <w:rFonts w:cs="Arial"/>
          <w:szCs w:val="22"/>
        </w:rPr>
        <w:tab/>
      </w:r>
      <w:r w:rsidRPr="009A6C20">
        <w:rPr>
          <w:rFonts w:cs="Arial"/>
          <w:szCs w:val="22"/>
        </w:rPr>
        <w:tab/>
      </w:r>
      <w:r w:rsidRPr="009A6C20">
        <w:rPr>
          <w:rFonts w:cs="Arial"/>
          <w:szCs w:val="22"/>
        </w:rPr>
        <w:tab/>
      </w:r>
      <w:r w:rsidRPr="009A6C20">
        <w:rPr>
          <w:rFonts w:cs="Arial"/>
          <w:szCs w:val="22"/>
        </w:rPr>
        <w:tab/>
      </w:r>
    </w:p>
    <w:p w14:paraId="5CBC154D" w14:textId="77777777" w:rsidR="001A1CCD" w:rsidRPr="009A6C20" w:rsidRDefault="001A1CCD" w:rsidP="001A1CCD">
      <w:pPr>
        <w:rPr>
          <w:rFonts w:cs="Arial"/>
          <w:szCs w:val="22"/>
        </w:rPr>
      </w:pPr>
    </w:p>
    <w:tbl>
      <w:tblPr>
        <w:tblStyle w:val="TableGrid"/>
        <w:tblW w:w="9039" w:type="dxa"/>
        <w:tblLayout w:type="fixed"/>
        <w:tblLook w:val="04A0" w:firstRow="1" w:lastRow="0" w:firstColumn="1" w:lastColumn="0" w:noHBand="0" w:noVBand="1"/>
      </w:tblPr>
      <w:tblGrid>
        <w:gridCol w:w="4928"/>
        <w:gridCol w:w="1984"/>
        <w:gridCol w:w="2127"/>
      </w:tblGrid>
      <w:tr w:rsidR="00107902" w:rsidRPr="009A6C20" w14:paraId="43A6056F" w14:textId="77777777" w:rsidTr="0067084F">
        <w:tc>
          <w:tcPr>
            <w:tcW w:w="4928" w:type="dxa"/>
          </w:tcPr>
          <w:p w14:paraId="368A0F27" w14:textId="77777777" w:rsidR="00107902" w:rsidRPr="009A6C20" w:rsidRDefault="00107902" w:rsidP="001A1CCD">
            <w:pPr>
              <w:rPr>
                <w:rFonts w:cs="Arial"/>
                <w:i/>
                <w:szCs w:val="22"/>
              </w:rPr>
            </w:pPr>
          </w:p>
          <w:p w14:paraId="69741F63" w14:textId="77777777" w:rsidR="00107902" w:rsidRPr="009A6C20" w:rsidRDefault="00107902" w:rsidP="001A1CCD">
            <w:pPr>
              <w:rPr>
                <w:rFonts w:cs="Arial"/>
                <w:i/>
                <w:szCs w:val="22"/>
              </w:rPr>
            </w:pPr>
            <w:r w:rsidRPr="009A6C20">
              <w:rPr>
                <w:rFonts w:cs="Arial"/>
                <w:i/>
                <w:szCs w:val="22"/>
              </w:rPr>
              <w:t>(Expressed in United States Dollars)</w:t>
            </w:r>
          </w:p>
        </w:tc>
        <w:tc>
          <w:tcPr>
            <w:tcW w:w="1984" w:type="dxa"/>
          </w:tcPr>
          <w:p w14:paraId="6AA99CAA" w14:textId="77AB2CEE" w:rsidR="00107902" w:rsidRPr="009A6C20" w:rsidRDefault="00107902" w:rsidP="007C5556">
            <w:pPr>
              <w:jc w:val="center"/>
              <w:rPr>
                <w:rFonts w:cs="Arial"/>
                <w:b/>
                <w:szCs w:val="22"/>
              </w:rPr>
            </w:pPr>
            <w:r w:rsidRPr="009A6C20">
              <w:rPr>
                <w:rFonts w:cs="Arial"/>
                <w:b/>
                <w:szCs w:val="22"/>
              </w:rPr>
              <w:t>Year Ended 31 December 201</w:t>
            </w:r>
            <w:r>
              <w:rPr>
                <w:rFonts w:cs="Arial"/>
                <w:b/>
                <w:szCs w:val="22"/>
              </w:rPr>
              <w:t>5</w:t>
            </w:r>
          </w:p>
        </w:tc>
        <w:tc>
          <w:tcPr>
            <w:tcW w:w="2127" w:type="dxa"/>
          </w:tcPr>
          <w:p w14:paraId="26E4F91A" w14:textId="56D5EBB7" w:rsidR="00107902" w:rsidRPr="009A6C20" w:rsidRDefault="00107902" w:rsidP="007C5556">
            <w:pPr>
              <w:jc w:val="center"/>
              <w:rPr>
                <w:rFonts w:cs="Arial"/>
                <w:b/>
                <w:szCs w:val="22"/>
              </w:rPr>
            </w:pPr>
            <w:r w:rsidRPr="009A6C20">
              <w:rPr>
                <w:rFonts w:cs="Arial"/>
                <w:b/>
                <w:szCs w:val="22"/>
              </w:rPr>
              <w:t>Year Ended 31 December 2014</w:t>
            </w:r>
          </w:p>
        </w:tc>
      </w:tr>
      <w:tr w:rsidR="00107902" w:rsidRPr="009A6C20" w14:paraId="37CA67D9" w14:textId="77777777" w:rsidTr="0067084F">
        <w:tc>
          <w:tcPr>
            <w:tcW w:w="4928" w:type="dxa"/>
          </w:tcPr>
          <w:p w14:paraId="532B3AA8" w14:textId="77777777" w:rsidR="00107902" w:rsidRPr="009A6C20" w:rsidRDefault="00107902" w:rsidP="001A1CCD">
            <w:pPr>
              <w:rPr>
                <w:rFonts w:cs="Arial"/>
                <w:szCs w:val="22"/>
              </w:rPr>
            </w:pPr>
          </w:p>
          <w:p w14:paraId="3C7615E0" w14:textId="77777777" w:rsidR="00107902" w:rsidRPr="009A6C20" w:rsidRDefault="00107902" w:rsidP="001A1CCD">
            <w:pPr>
              <w:rPr>
                <w:rFonts w:cs="Arial"/>
                <w:szCs w:val="22"/>
              </w:rPr>
            </w:pPr>
          </w:p>
        </w:tc>
        <w:tc>
          <w:tcPr>
            <w:tcW w:w="1984" w:type="dxa"/>
          </w:tcPr>
          <w:p w14:paraId="09CF5C2A" w14:textId="1A70C0EC" w:rsidR="00107902" w:rsidRPr="009A6C20" w:rsidRDefault="00107902" w:rsidP="008B5648">
            <w:pPr>
              <w:jc w:val="center"/>
              <w:rPr>
                <w:rFonts w:cs="Arial"/>
                <w:b/>
                <w:szCs w:val="22"/>
              </w:rPr>
            </w:pPr>
            <w:r w:rsidRPr="009A6C20">
              <w:rPr>
                <w:rFonts w:cs="Arial"/>
                <w:b/>
              </w:rPr>
              <w:t>$</w:t>
            </w:r>
          </w:p>
        </w:tc>
        <w:tc>
          <w:tcPr>
            <w:tcW w:w="2127" w:type="dxa"/>
          </w:tcPr>
          <w:p w14:paraId="1931F9DC" w14:textId="66BAF3A1" w:rsidR="00107902" w:rsidRPr="009A6C20" w:rsidRDefault="00107902" w:rsidP="008B5648">
            <w:pPr>
              <w:jc w:val="center"/>
              <w:rPr>
                <w:rFonts w:cs="Arial"/>
                <w:b/>
                <w:szCs w:val="22"/>
              </w:rPr>
            </w:pPr>
            <w:r w:rsidRPr="009A6C20">
              <w:rPr>
                <w:rFonts w:cs="Arial"/>
                <w:b/>
                <w:szCs w:val="22"/>
              </w:rPr>
              <w:t>$</w:t>
            </w:r>
          </w:p>
        </w:tc>
      </w:tr>
      <w:tr w:rsidR="00107902" w:rsidRPr="009A6C20" w14:paraId="4DDC7CB0" w14:textId="77777777" w:rsidTr="0067084F">
        <w:tc>
          <w:tcPr>
            <w:tcW w:w="4928" w:type="dxa"/>
          </w:tcPr>
          <w:p w14:paraId="6AFEAEFF" w14:textId="77777777" w:rsidR="00107902" w:rsidRPr="009A6C20" w:rsidRDefault="00107902" w:rsidP="001A1CCD">
            <w:pPr>
              <w:rPr>
                <w:rFonts w:cs="Arial"/>
                <w:b/>
                <w:szCs w:val="22"/>
              </w:rPr>
            </w:pPr>
            <w:r w:rsidRPr="009A6C20">
              <w:rPr>
                <w:rFonts w:cs="Arial"/>
                <w:b/>
                <w:szCs w:val="22"/>
              </w:rPr>
              <w:t>Net investment loss allocated from</w:t>
            </w:r>
          </w:p>
          <w:p w14:paraId="478C4B32" w14:textId="77777777" w:rsidR="00107902" w:rsidRPr="009A6C20" w:rsidRDefault="00107902" w:rsidP="001A1CCD">
            <w:pPr>
              <w:rPr>
                <w:rFonts w:cs="Arial"/>
                <w:b/>
                <w:szCs w:val="22"/>
              </w:rPr>
            </w:pPr>
            <w:r w:rsidRPr="009A6C20">
              <w:rPr>
                <w:rFonts w:cs="Arial"/>
                <w:b/>
                <w:szCs w:val="22"/>
              </w:rPr>
              <w:t>CATCo Reinsurance Fund Ltd. -  CATCo Diversified Fund</w:t>
            </w:r>
          </w:p>
        </w:tc>
        <w:tc>
          <w:tcPr>
            <w:tcW w:w="1984" w:type="dxa"/>
          </w:tcPr>
          <w:p w14:paraId="30258F7D" w14:textId="77777777" w:rsidR="00107902" w:rsidRPr="009A6C20" w:rsidRDefault="00107902" w:rsidP="001A1CCD">
            <w:pPr>
              <w:jc w:val="right"/>
              <w:rPr>
                <w:rFonts w:cs="Arial"/>
                <w:szCs w:val="22"/>
              </w:rPr>
            </w:pPr>
          </w:p>
        </w:tc>
        <w:tc>
          <w:tcPr>
            <w:tcW w:w="2127" w:type="dxa"/>
          </w:tcPr>
          <w:p w14:paraId="6C2D9FFE" w14:textId="71EAAD21" w:rsidR="00107902" w:rsidRPr="009A6C20" w:rsidRDefault="00107902" w:rsidP="001A1CCD">
            <w:pPr>
              <w:jc w:val="right"/>
              <w:rPr>
                <w:rFonts w:cs="Arial"/>
                <w:szCs w:val="22"/>
              </w:rPr>
            </w:pPr>
          </w:p>
        </w:tc>
      </w:tr>
      <w:tr w:rsidR="00107902" w:rsidRPr="009A6C20" w14:paraId="4578589E" w14:textId="77777777" w:rsidTr="0067084F">
        <w:tc>
          <w:tcPr>
            <w:tcW w:w="4928" w:type="dxa"/>
          </w:tcPr>
          <w:p w14:paraId="1EA84EB2" w14:textId="77777777" w:rsidR="00107902" w:rsidRPr="009A6C20" w:rsidRDefault="00107902" w:rsidP="001A1CCD">
            <w:pPr>
              <w:rPr>
                <w:rFonts w:cs="Arial"/>
                <w:szCs w:val="22"/>
              </w:rPr>
            </w:pPr>
          </w:p>
        </w:tc>
        <w:tc>
          <w:tcPr>
            <w:tcW w:w="1984" w:type="dxa"/>
            <w:vAlign w:val="center"/>
          </w:tcPr>
          <w:p w14:paraId="5E1158AE" w14:textId="77777777" w:rsidR="00107902" w:rsidRPr="009A6C20" w:rsidRDefault="00107902" w:rsidP="001A1CCD">
            <w:pPr>
              <w:jc w:val="right"/>
              <w:rPr>
                <w:rFonts w:cs="Arial"/>
                <w:szCs w:val="22"/>
              </w:rPr>
            </w:pPr>
          </w:p>
        </w:tc>
        <w:tc>
          <w:tcPr>
            <w:tcW w:w="2127" w:type="dxa"/>
            <w:vAlign w:val="center"/>
          </w:tcPr>
          <w:p w14:paraId="39DFC593" w14:textId="608B6807" w:rsidR="00107902" w:rsidRPr="009A6C20" w:rsidRDefault="00107902" w:rsidP="001A1CCD">
            <w:pPr>
              <w:jc w:val="right"/>
              <w:rPr>
                <w:rFonts w:cs="Arial"/>
                <w:szCs w:val="22"/>
              </w:rPr>
            </w:pPr>
          </w:p>
        </w:tc>
      </w:tr>
      <w:tr w:rsidR="00107902" w:rsidRPr="009A6C20" w14:paraId="720FB194" w14:textId="77777777" w:rsidTr="0067084F">
        <w:tc>
          <w:tcPr>
            <w:tcW w:w="4928" w:type="dxa"/>
          </w:tcPr>
          <w:p w14:paraId="34EC7413" w14:textId="77777777" w:rsidR="00107902" w:rsidRPr="009A6C20" w:rsidRDefault="00107902" w:rsidP="001A1CCD">
            <w:pPr>
              <w:rPr>
                <w:rFonts w:cs="Arial"/>
                <w:szCs w:val="22"/>
              </w:rPr>
            </w:pPr>
            <w:r w:rsidRPr="009A6C20">
              <w:rPr>
                <w:rFonts w:cs="Arial"/>
                <w:szCs w:val="22"/>
              </w:rPr>
              <w:t>Interest</w:t>
            </w:r>
          </w:p>
        </w:tc>
        <w:tc>
          <w:tcPr>
            <w:tcW w:w="1984" w:type="dxa"/>
            <w:vAlign w:val="center"/>
          </w:tcPr>
          <w:p w14:paraId="137518B0" w14:textId="5BC6D28A" w:rsidR="00107902" w:rsidRPr="009A6C20" w:rsidRDefault="00107902" w:rsidP="001A1CCD">
            <w:pPr>
              <w:jc w:val="right"/>
              <w:rPr>
                <w:rFonts w:cs="Arial"/>
                <w:szCs w:val="22"/>
              </w:rPr>
            </w:pPr>
            <w:r>
              <w:rPr>
                <w:rFonts w:cs="Arial"/>
                <w:szCs w:val="22"/>
              </w:rPr>
              <w:t>7,768</w:t>
            </w:r>
          </w:p>
        </w:tc>
        <w:tc>
          <w:tcPr>
            <w:tcW w:w="2127" w:type="dxa"/>
            <w:vAlign w:val="center"/>
          </w:tcPr>
          <w:p w14:paraId="6E2DCC19" w14:textId="54CA2642" w:rsidR="00107902" w:rsidRPr="009A6C20" w:rsidRDefault="00107902" w:rsidP="001A1CCD">
            <w:pPr>
              <w:jc w:val="right"/>
              <w:rPr>
                <w:rFonts w:cs="Arial"/>
                <w:szCs w:val="22"/>
              </w:rPr>
            </w:pPr>
            <w:r w:rsidRPr="009A6C20">
              <w:rPr>
                <w:rFonts w:cs="Arial"/>
                <w:szCs w:val="22"/>
              </w:rPr>
              <w:t>15,251</w:t>
            </w:r>
          </w:p>
        </w:tc>
      </w:tr>
      <w:tr w:rsidR="00107902" w:rsidRPr="009A6C20" w14:paraId="518D84F6" w14:textId="77777777" w:rsidTr="0067084F">
        <w:tc>
          <w:tcPr>
            <w:tcW w:w="4928" w:type="dxa"/>
          </w:tcPr>
          <w:p w14:paraId="5F1C6097" w14:textId="0B3D6634" w:rsidR="00107902" w:rsidRPr="009A6C20" w:rsidRDefault="00107902" w:rsidP="001A1CCD">
            <w:pPr>
              <w:rPr>
                <w:rFonts w:cs="Arial"/>
                <w:szCs w:val="22"/>
              </w:rPr>
            </w:pPr>
            <w:r>
              <w:rPr>
                <w:rFonts w:cs="Arial"/>
                <w:szCs w:val="22"/>
              </w:rPr>
              <w:t>Miscellaneous income</w:t>
            </w:r>
          </w:p>
        </w:tc>
        <w:tc>
          <w:tcPr>
            <w:tcW w:w="1984" w:type="dxa"/>
            <w:vAlign w:val="center"/>
          </w:tcPr>
          <w:p w14:paraId="679769DE" w14:textId="770D896F" w:rsidR="00107902" w:rsidRPr="009A6C20" w:rsidRDefault="00107902" w:rsidP="001A1CCD">
            <w:pPr>
              <w:jc w:val="right"/>
              <w:rPr>
                <w:rFonts w:cs="Arial"/>
                <w:szCs w:val="22"/>
              </w:rPr>
            </w:pPr>
            <w:r>
              <w:rPr>
                <w:rFonts w:cs="Arial"/>
                <w:szCs w:val="22"/>
              </w:rPr>
              <w:t>2,992</w:t>
            </w:r>
          </w:p>
        </w:tc>
        <w:tc>
          <w:tcPr>
            <w:tcW w:w="2127" w:type="dxa"/>
            <w:vAlign w:val="center"/>
          </w:tcPr>
          <w:p w14:paraId="5EB27B5D" w14:textId="7ED7F05C" w:rsidR="00107902" w:rsidRPr="009A6C20" w:rsidRDefault="00107902" w:rsidP="001A1CCD">
            <w:pPr>
              <w:jc w:val="right"/>
              <w:rPr>
                <w:rFonts w:cs="Arial"/>
                <w:szCs w:val="22"/>
              </w:rPr>
            </w:pPr>
            <w:r w:rsidRPr="009A6C20">
              <w:rPr>
                <w:rFonts w:cs="Arial"/>
                <w:szCs w:val="22"/>
              </w:rPr>
              <w:t>140,791</w:t>
            </w:r>
          </w:p>
        </w:tc>
      </w:tr>
      <w:tr w:rsidR="00107902" w:rsidRPr="009A6C20" w14:paraId="1F8F31FB" w14:textId="77777777" w:rsidTr="0067084F">
        <w:tc>
          <w:tcPr>
            <w:tcW w:w="4928" w:type="dxa"/>
          </w:tcPr>
          <w:p w14:paraId="3D32A97C" w14:textId="77777777" w:rsidR="00107902" w:rsidRPr="009A6C20" w:rsidRDefault="00107902" w:rsidP="00E014DD">
            <w:pPr>
              <w:rPr>
                <w:rFonts w:cs="Arial"/>
                <w:szCs w:val="22"/>
              </w:rPr>
            </w:pPr>
            <w:r w:rsidRPr="009A6C20">
              <w:rPr>
                <w:rFonts w:cs="Arial"/>
                <w:szCs w:val="22"/>
              </w:rPr>
              <w:t xml:space="preserve">Management fee </w:t>
            </w:r>
          </w:p>
        </w:tc>
        <w:tc>
          <w:tcPr>
            <w:tcW w:w="1984" w:type="dxa"/>
            <w:vAlign w:val="center"/>
          </w:tcPr>
          <w:p w14:paraId="4A309345" w14:textId="5C1CEB04" w:rsidR="00107902" w:rsidRPr="009A6C20" w:rsidRDefault="00107902" w:rsidP="00107902">
            <w:pPr>
              <w:jc w:val="right"/>
              <w:rPr>
                <w:rFonts w:cs="Arial"/>
                <w:szCs w:val="22"/>
              </w:rPr>
            </w:pPr>
            <w:r w:rsidRPr="009A6C20">
              <w:rPr>
                <w:rFonts w:cs="Arial"/>
                <w:szCs w:val="22"/>
              </w:rPr>
              <w:t>(</w:t>
            </w:r>
            <w:r>
              <w:rPr>
                <w:rFonts w:cs="Arial"/>
                <w:szCs w:val="22"/>
              </w:rPr>
              <w:t>4,987,744</w:t>
            </w:r>
            <w:r w:rsidRPr="009A6C20">
              <w:rPr>
                <w:rFonts w:cs="Arial"/>
                <w:szCs w:val="22"/>
              </w:rPr>
              <w:t>)</w:t>
            </w:r>
          </w:p>
        </w:tc>
        <w:tc>
          <w:tcPr>
            <w:tcW w:w="2127" w:type="dxa"/>
            <w:vAlign w:val="center"/>
          </w:tcPr>
          <w:p w14:paraId="5B9CD349" w14:textId="00886B6D" w:rsidR="00107902" w:rsidRPr="009A6C20" w:rsidRDefault="00107902" w:rsidP="00E014DD">
            <w:pPr>
              <w:jc w:val="right"/>
              <w:rPr>
                <w:rFonts w:cs="Arial"/>
                <w:szCs w:val="22"/>
              </w:rPr>
            </w:pPr>
            <w:r w:rsidRPr="009A6C20">
              <w:rPr>
                <w:rFonts w:cs="Arial"/>
                <w:szCs w:val="22"/>
              </w:rPr>
              <w:t>(5,136,652)</w:t>
            </w:r>
          </w:p>
        </w:tc>
      </w:tr>
      <w:tr w:rsidR="00107902" w:rsidRPr="009A6C20" w14:paraId="2A95282E" w14:textId="77777777" w:rsidTr="0067084F">
        <w:tc>
          <w:tcPr>
            <w:tcW w:w="4928" w:type="dxa"/>
          </w:tcPr>
          <w:p w14:paraId="537D3569" w14:textId="77777777" w:rsidR="00107902" w:rsidRPr="009A6C20" w:rsidRDefault="00107902" w:rsidP="00E014DD">
            <w:pPr>
              <w:rPr>
                <w:rFonts w:cs="Arial"/>
                <w:szCs w:val="22"/>
              </w:rPr>
            </w:pPr>
            <w:r w:rsidRPr="009A6C20">
              <w:rPr>
                <w:rFonts w:cs="Arial"/>
                <w:szCs w:val="22"/>
              </w:rPr>
              <w:t>Performance fee</w:t>
            </w:r>
          </w:p>
        </w:tc>
        <w:tc>
          <w:tcPr>
            <w:tcW w:w="1984" w:type="dxa"/>
            <w:vAlign w:val="center"/>
          </w:tcPr>
          <w:p w14:paraId="2D88EF67" w14:textId="715420FD" w:rsidR="00107902" w:rsidRPr="009A6C20" w:rsidRDefault="00107902" w:rsidP="00107902">
            <w:pPr>
              <w:jc w:val="right"/>
              <w:rPr>
                <w:rFonts w:cs="Arial"/>
                <w:szCs w:val="22"/>
              </w:rPr>
            </w:pPr>
            <w:r w:rsidRPr="009A6C20">
              <w:rPr>
                <w:rFonts w:cs="Arial"/>
                <w:szCs w:val="22"/>
              </w:rPr>
              <w:t>(</w:t>
            </w:r>
            <w:r>
              <w:rPr>
                <w:rFonts w:cs="Arial"/>
                <w:szCs w:val="22"/>
              </w:rPr>
              <w:t>4,274,137</w:t>
            </w:r>
            <w:r w:rsidRPr="009A6C20">
              <w:rPr>
                <w:rFonts w:cs="Arial"/>
                <w:szCs w:val="22"/>
              </w:rPr>
              <w:t>)</w:t>
            </w:r>
          </w:p>
        </w:tc>
        <w:tc>
          <w:tcPr>
            <w:tcW w:w="2127" w:type="dxa"/>
            <w:vAlign w:val="center"/>
          </w:tcPr>
          <w:p w14:paraId="0576E513" w14:textId="3B5A8F16" w:rsidR="00107902" w:rsidRPr="009A6C20" w:rsidRDefault="00107902" w:rsidP="00E014DD">
            <w:pPr>
              <w:jc w:val="right"/>
              <w:rPr>
                <w:rFonts w:cs="Arial"/>
                <w:szCs w:val="22"/>
              </w:rPr>
            </w:pPr>
            <w:r w:rsidRPr="009A6C20">
              <w:rPr>
                <w:rFonts w:cs="Arial"/>
                <w:szCs w:val="22"/>
              </w:rPr>
              <w:t>(5,083,337)</w:t>
            </w:r>
          </w:p>
        </w:tc>
      </w:tr>
      <w:tr w:rsidR="00107902" w:rsidRPr="009A6C20" w14:paraId="2743E3E5" w14:textId="77777777" w:rsidTr="0067084F">
        <w:tc>
          <w:tcPr>
            <w:tcW w:w="4928" w:type="dxa"/>
          </w:tcPr>
          <w:p w14:paraId="373334A5" w14:textId="77777777" w:rsidR="00107902" w:rsidRPr="009A6C20" w:rsidRDefault="00107902" w:rsidP="00E014DD">
            <w:pPr>
              <w:rPr>
                <w:rFonts w:cs="Arial"/>
                <w:szCs w:val="22"/>
              </w:rPr>
            </w:pPr>
            <w:r w:rsidRPr="009A6C20">
              <w:rPr>
                <w:rFonts w:cs="Arial"/>
                <w:szCs w:val="22"/>
              </w:rPr>
              <w:t>Professional fees and other</w:t>
            </w:r>
          </w:p>
        </w:tc>
        <w:tc>
          <w:tcPr>
            <w:tcW w:w="1984" w:type="dxa"/>
            <w:vAlign w:val="center"/>
          </w:tcPr>
          <w:p w14:paraId="4F6F3590" w14:textId="3E2D8DEF" w:rsidR="00107902" w:rsidRPr="009A6C20" w:rsidRDefault="00107902" w:rsidP="0063718C">
            <w:pPr>
              <w:jc w:val="right"/>
              <w:rPr>
                <w:rFonts w:cs="Arial"/>
                <w:szCs w:val="22"/>
              </w:rPr>
            </w:pPr>
            <w:r>
              <w:rPr>
                <w:rFonts w:cs="Arial"/>
                <w:szCs w:val="22"/>
              </w:rPr>
              <w:t>(383,083</w:t>
            </w:r>
            <w:r w:rsidRPr="009A6C20">
              <w:rPr>
                <w:rFonts w:cs="Arial"/>
                <w:szCs w:val="22"/>
              </w:rPr>
              <w:t>)</w:t>
            </w:r>
          </w:p>
        </w:tc>
        <w:tc>
          <w:tcPr>
            <w:tcW w:w="2127" w:type="dxa"/>
            <w:vAlign w:val="center"/>
          </w:tcPr>
          <w:p w14:paraId="42775FCE" w14:textId="78B04D8E" w:rsidR="00107902" w:rsidRPr="009A6C20" w:rsidRDefault="00107902" w:rsidP="0063718C">
            <w:pPr>
              <w:jc w:val="right"/>
              <w:rPr>
                <w:rFonts w:cs="Arial"/>
                <w:szCs w:val="22"/>
              </w:rPr>
            </w:pPr>
            <w:r w:rsidRPr="009A6C20">
              <w:rPr>
                <w:rFonts w:cs="Arial"/>
                <w:szCs w:val="22"/>
              </w:rPr>
              <w:t>(288,299)</w:t>
            </w:r>
          </w:p>
        </w:tc>
      </w:tr>
      <w:tr w:rsidR="00107902" w:rsidRPr="009A6C20" w14:paraId="7F14598D" w14:textId="77777777" w:rsidTr="0067084F">
        <w:tc>
          <w:tcPr>
            <w:tcW w:w="4928" w:type="dxa"/>
          </w:tcPr>
          <w:p w14:paraId="728A91B1" w14:textId="77777777" w:rsidR="00107902" w:rsidRPr="009A6C20" w:rsidRDefault="00107902" w:rsidP="00E014DD">
            <w:pPr>
              <w:rPr>
                <w:rFonts w:cs="Arial"/>
                <w:szCs w:val="22"/>
              </w:rPr>
            </w:pPr>
            <w:r w:rsidRPr="009A6C20">
              <w:rPr>
                <w:rFonts w:cs="Arial"/>
                <w:szCs w:val="22"/>
              </w:rPr>
              <w:t>Administrative fee</w:t>
            </w:r>
          </w:p>
        </w:tc>
        <w:tc>
          <w:tcPr>
            <w:tcW w:w="1984" w:type="dxa"/>
            <w:vAlign w:val="center"/>
          </w:tcPr>
          <w:p w14:paraId="196819AA" w14:textId="5B43158D" w:rsidR="00107902" w:rsidRPr="009A6C20" w:rsidRDefault="00107902" w:rsidP="0063718C">
            <w:pPr>
              <w:jc w:val="right"/>
              <w:rPr>
                <w:rFonts w:cs="Arial"/>
                <w:szCs w:val="22"/>
              </w:rPr>
            </w:pPr>
            <w:r>
              <w:rPr>
                <w:rFonts w:cs="Arial"/>
                <w:szCs w:val="22"/>
              </w:rPr>
              <w:t>(157,199</w:t>
            </w:r>
            <w:r w:rsidRPr="009A6C20">
              <w:rPr>
                <w:rFonts w:cs="Arial"/>
                <w:szCs w:val="22"/>
              </w:rPr>
              <w:t>)</w:t>
            </w:r>
          </w:p>
        </w:tc>
        <w:tc>
          <w:tcPr>
            <w:tcW w:w="2127" w:type="dxa"/>
            <w:vAlign w:val="center"/>
          </w:tcPr>
          <w:p w14:paraId="49043AC5" w14:textId="68FBB352" w:rsidR="00107902" w:rsidRPr="009A6C20" w:rsidRDefault="00107902" w:rsidP="0063718C">
            <w:pPr>
              <w:jc w:val="right"/>
              <w:rPr>
                <w:rFonts w:cs="Arial"/>
                <w:szCs w:val="22"/>
              </w:rPr>
            </w:pPr>
            <w:r w:rsidRPr="009A6C20">
              <w:rPr>
                <w:rFonts w:cs="Arial"/>
                <w:szCs w:val="22"/>
              </w:rPr>
              <w:t>(190,215)</w:t>
            </w:r>
          </w:p>
        </w:tc>
      </w:tr>
      <w:tr w:rsidR="00107902" w:rsidRPr="009A6C20" w14:paraId="6D6162FF" w14:textId="77777777" w:rsidTr="0067084F">
        <w:tc>
          <w:tcPr>
            <w:tcW w:w="4928" w:type="dxa"/>
          </w:tcPr>
          <w:p w14:paraId="00EA0BBC" w14:textId="77777777" w:rsidR="00107902" w:rsidRPr="009A6C20" w:rsidRDefault="00107902" w:rsidP="001A1CCD">
            <w:pPr>
              <w:rPr>
                <w:rFonts w:cs="Arial"/>
                <w:szCs w:val="22"/>
              </w:rPr>
            </w:pPr>
          </w:p>
        </w:tc>
        <w:tc>
          <w:tcPr>
            <w:tcW w:w="1984" w:type="dxa"/>
          </w:tcPr>
          <w:p w14:paraId="23CE7712" w14:textId="77777777" w:rsidR="00107902" w:rsidRPr="009A6C20" w:rsidRDefault="00107902" w:rsidP="001A1CCD">
            <w:pPr>
              <w:jc w:val="right"/>
              <w:rPr>
                <w:rFonts w:cs="Arial"/>
                <w:szCs w:val="22"/>
              </w:rPr>
            </w:pPr>
          </w:p>
        </w:tc>
        <w:tc>
          <w:tcPr>
            <w:tcW w:w="2127" w:type="dxa"/>
          </w:tcPr>
          <w:p w14:paraId="2DD0EA50" w14:textId="267025EE" w:rsidR="00107902" w:rsidRPr="009A6C20" w:rsidRDefault="00107902" w:rsidP="001A1CCD">
            <w:pPr>
              <w:jc w:val="right"/>
              <w:rPr>
                <w:rFonts w:cs="Arial"/>
                <w:szCs w:val="22"/>
              </w:rPr>
            </w:pPr>
          </w:p>
        </w:tc>
      </w:tr>
      <w:tr w:rsidR="00107902" w:rsidRPr="009A6C20" w14:paraId="13B779A3" w14:textId="77777777" w:rsidTr="0067084F">
        <w:tc>
          <w:tcPr>
            <w:tcW w:w="4928" w:type="dxa"/>
          </w:tcPr>
          <w:p w14:paraId="4C1FC0E1" w14:textId="77777777" w:rsidR="00107902" w:rsidRPr="009A6C20" w:rsidRDefault="00107902" w:rsidP="001A1CCD">
            <w:pPr>
              <w:rPr>
                <w:rFonts w:cs="Arial"/>
                <w:szCs w:val="22"/>
              </w:rPr>
            </w:pPr>
            <w:r w:rsidRPr="009A6C20">
              <w:rPr>
                <w:rFonts w:cs="Arial"/>
                <w:szCs w:val="22"/>
              </w:rPr>
              <w:t xml:space="preserve">Net investment loss allocated from </w:t>
            </w:r>
          </w:p>
          <w:p w14:paraId="379EB071" w14:textId="3877FF11" w:rsidR="00107902" w:rsidRDefault="00107902" w:rsidP="001A1CCD">
            <w:pPr>
              <w:rPr>
                <w:rFonts w:cs="Arial"/>
                <w:szCs w:val="22"/>
              </w:rPr>
            </w:pPr>
            <w:r>
              <w:rPr>
                <w:rFonts w:cs="Arial"/>
                <w:szCs w:val="22"/>
              </w:rPr>
              <w:t>CATCo Reinsurance Fund Ltd. -</w:t>
            </w:r>
            <w:r w:rsidRPr="009A6C20">
              <w:rPr>
                <w:rFonts w:cs="Arial"/>
                <w:szCs w:val="22"/>
              </w:rPr>
              <w:t xml:space="preserve"> </w:t>
            </w:r>
          </w:p>
          <w:p w14:paraId="79375578" w14:textId="5DE3C04E" w:rsidR="00107902" w:rsidRPr="009A6C20" w:rsidRDefault="00107902" w:rsidP="001A1CCD">
            <w:pPr>
              <w:rPr>
                <w:rFonts w:cs="Arial"/>
                <w:szCs w:val="22"/>
                <w:highlight w:val="yellow"/>
              </w:rPr>
            </w:pPr>
            <w:r w:rsidRPr="009A6C20">
              <w:rPr>
                <w:rFonts w:cs="Arial"/>
                <w:szCs w:val="22"/>
              </w:rPr>
              <w:t>CATCo Diversified Fund</w:t>
            </w:r>
            <w:r w:rsidRPr="009A6C20">
              <w:rPr>
                <w:rFonts w:cs="Arial"/>
                <w:szCs w:val="22"/>
              </w:rPr>
              <w:tab/>
            </w:r>
            <w:r w:rsidRPr="009A6C20">
              <w:rPr>
                <w:rFonts w:cs="Arial"/>
                <w:szCs w:val="22"/>
              </w:rPr>
              <w:tab/>
            </w:r>
          </w:p>
        </w:tc>
        <w:tc>
          <w:tcPr>
            <w:tcW w:w="1984" w:type="dxa"/>
          </w:tcPr>
          <w:p w14:paraId="03C4D94B" w14:textId="77777777" w:rsidR="00107902" w:rsidRPr="009A6C20" w:rsidRDefault="00107902" w:rsidP="00107902">
            <w:pPr>
              <w:jc w:val="right"/>
              <w:rPr>
                <w:rFonts w:cs="Arial"/>
                <w:szCs w:val="22"/>
                <w:highlight w:val="yellow"/>
              </w:rPr>
            </w:pPr>
          </w:p>
          <w:p w14:paraId="31D0C69F" w14:textId="77777777" w:rsidR="00107902" w:rsidRPr="009A6C20" w:rsidRDefault="00107902" w:rsidP="00107902">
            <w:pPr>
              <w:jc w:val="right"/>
              <w:rPr>
                <w:rFonts w:cs="Arial"/>
                <w:szCs w:val="22"/>
                <w:highlight w:val="yellow"/>
              </w:rPr>
            </w:pPr>
          </w:p>
          <w:p w14:paraId="0E5DD581" w14:textId="6555465E" w:rsidR="00107902" w:rsidRPr="009A6C20" w:rsidRDefault="00107902" w:rsidP="00107902">
            <w:pPr>
              <w:jc w:val="right"/>
              <w:rPr>
                <w:rFonts w:cs="Arial"/>
                <w:szCs w:val="22"/>
                <w:highlight w:val="yellow"/>
              </w:rPr>
            </w:pPr>
            <w:r w:rsidRPr="009A6C20">
              <w:rPr>
                <w:rFonts w:cs="Arial"/>
                <w:szCs w:val="22"/>
              </w:rPr>
              <w:t>(</w:t>
            </w:r>
            <w:r>
              <w:rPr>
                <w:rFonts w:cs="Arial"/>
                <w:szCs w:val="22"/>
              </w:rPr>
              <w:t>9,791,403</w:t>
            </w:r>
            <w:r w:rsidRPr="009A6C20">
              <w:rPr>
                <w:rFonts w:cs="Arial"/>
                <w:szCs w:val="22"/>
              </w:rPr>
              <w:t>)</w:t>
            </w:r>
          </w:p>
        </w:tc>
        <w:tc>
          <w:tcPr>
            <w:tcW w:w="2127" w:type="dxa"/>
          </w:tcPr>
          <w:p w14:paraId="5AD6E5B6" w14:textId="400826AD" w:rsidR="00107902" w:rsidRPr="009A6C20" w:rsidRDefault="00107902" w:rsidP="001A1CCD">
            <w:pPr>
              <w:jc w:val="right"/>
              <w:rPr>
                <w:rFonts w:cs="Arial"/>
                <w:szCs w:val="22"/>
                <w:highlight w:val="yellow"/>
              </w:rPr>
            </w:pPr>
          </w:p>
          <w:p w14:paraId="0137608C" w14:textId="77777777" w:rsidR="00107902" w:rsidRPr="009A6C20" w:rsidRDefault="00107902" w:rsidP="001A1CCD">
            <w:pPr>
              <w:jc w:val="right"/>
              <w:rPr>
                <w:rFonts w:cs="Arial"/>
                <w:szCs w:val="22"/>
                <w:highlight w:val="yellow"/>
              </w:rPr>
            </w:pPr>
          </w:p>
          <w:p w14:paraId="447F7DC7" w14:textId="77777777" w:rsidR="00107902" w:rsidRPr="009A6C20" w:rsidRDefault="00107902" w:rsidP="0063718C">
            <w:pPr>
              <w:jc w:val="right"/>
              <w:rPr>
                <w:rFonts w:cs="Arial"/>
                <w:szCs w:val="22"/>
                <w:highlight w:val="yellow"/>
              </w:rPr>
            </w:pPr>
            <w:r w:rsidRPr="009A6C20">
              <w:rPr>
                <w:rFonts w:cs="Arial"/>
                <w:szCs w:val="22"/>
              </w:rPr>
              <w:t>(10,542,461)</w:t>
            </w:r>
          </w:p>
        </w:tc>
      </w:tr>
      <w:tr w:rsidR="00107902" w:rsidRPr="009A6C20" w14:paraId="0F765A54" w14:textId="77777777" w:rsidTr="0067084F">
        <w:tc>
          <w:tcPr>
            <w:tcW w:w="4928" w:type="dxa"/>
          </w:tcPr>
          <w:p w14:paraId="00C20F53" w14:textId="77777777" w:rsidR="00107902" w:rsidRPr="009A6C20" w:rsidRDefault="00107902" w:rsidP="001A1CCD">
            <w:pPr>
              <w:rPr>
                <w:rFonts w:cs="Arial"/>
                <w:szCs w:val="22"/>
              </w:rPr>
            </w:pPr>
          </w:p>
        </w:tc>
        <w:tc>
          <w:tcPr>
            <w:tcW w:w="1984" w:type="dxa"/>
          </w:tcPr>
          <w:p w14:paraId="32D69DE1" w14:textId="77777777" w:rsidR="00107902" w:rsidRPr="009A6C20" w:rsidRDefault="00107902" w:rsidP="001A1CCD">
            <w:pPr>
              <w:jc w:val="right"/>
              <w:rPr>
                <w:rFonts w:cs="Arial"/>
                <w:szCs w:val="22"/>
              </w:rPr>
            </w:pPr>
          </w:p>
        </w:tc>
        <w:tc>
          <w:tcPr>
            <w:tcW w:w="2127" w:type="dxa"/>
          </w:tcPr>
          <w:p w14:paraId="2FD2A3F7" w14:textId="5D825C34" w:rsidR="00107902" w:rsidRPr="009A6C20" w:rsidRDefault="00107902" w:rsidP="001A1CCD">
            <w:pPr>
              <w:jc w:val="right"/>
              <w:rPr>
                <w:rFonts w:cs="Arial"/>
                <w:szCs w:val="22"/>
              </w:rPr>
            </w:pPr>
          </w:p>
        </w:tc>
      </w:tr>
      <w:tr w:rsidR="00107902" w:rsidRPr="009A6C20" w14:paraId="4EF074B4" w14:textId="77777777" w:rsidTr="0067084F">
        <w:tc>
          <w:tcPr>
            <w:tcW w:w="4928" w:type="dxa"/>
          </w:tcPr>
          <w:p w14:paraId="4A73F506" w14:textId="77777777" w:rsidR="00107902" w:rsidRPr="009A6C20" w:rsidRDefault="00107902" w:rsidP="001A1CCD">
            <w:pPr>
              <w:rPr>
                <w:rFonts w:cs="Arial"/>
                <w:szCs w:val="22"/>
              </w:rPr>
            </w:pPr>
          </w:p>
        </w:tc>
        <w:tc>
          <w:tcPr>
            <w:tcW w:w="1984" w:type="dxa"/>
          </w:tcPr>
          <w:p w14:paraId="609F983C" w14:textId="77777777" w:rsidR="00107902" w:rsidRPr="009A6C20" w:rsidRDefault="00107902" w:rsidP="001A1CCD">
            <w:pPr>
              <w:jc w:val="right"/>
              <w:rPr>
                <w:rFonts w:cs="Arial"/>
                <w:szCs w:val="22"/>
              </w:rPr>
            </w:pPr>
          </w:p>
        </w:tc>
        <w:tc>
          <w:tcPr>
            <w:tcW w:w="2127" w:type="dxa"/>
          </w:tcPr>
          <w:p w14:paraId="5D8BBCF9" w14:textId="51F5A8B2" w:rsidR="00107902" w:rsidRPr="009A6C20" w:rsidRDefault="00107902" w:rsidP="001A1CCD">
            <w:pPr>
              <w:jc w:val="right"/>
              <w:rPr>
                <w:rFonts w:cs="Arial"/>
                <w:szCs w:val="22"/>
              </w:rPr>
            </w:pPr>
          </w:p>
        </w:tc>
      </w:tr>
      <w:tr w:rsidR="00107902" w:rsidRPr="009A6C20" w14:paraId="28884957" w14:textId="77777777" w:rsidTr="0067084F">
        <w:tc>
          <w:tcPr>
            <w:tcW w:w="4928" w:type="dxa"/>
          </w:tcPr>
          <w:p w14:paraId="79B9FDBF" w14:textId="77777777" w:rsidR="00107902" w:rsidRPr="009A6C20" w:rsidRDefault="00107902" w:rsidP="001A1CCD">
            <w:pPr>
              <w:rPr>
                <w:rFonts w:cs="Arial"/>
                <w:szCs w:val="22"/>
              </w:rPr>
            </w:pPr>
            <w:r w:rsidRPr="009A6C20">
              <w:rPr>
                <w:rFonts w:cs="Arial"/>
                <w:b/>
                <w:szCs w:val="22"/>
              </w:rPr>
              <w:t>Company expenses</w:t>
            </w:r>
          </w:p>
        </w:tc>
        <w:tc>
          <w:tcPr>
            <w:tcW w:w="1984" w:type="dxa"/>
          </w:tcPr>
          <w:p w14:paraId="49C6A367" w14:textId="77777777" w:rsidR="00107902" w:rsidRPr="009A6C20" w:rsidRDefault="00107902" w:rsidP="001A1CCD">
            <w:pPr>
              <w:jc w:val="right"/>
              <w:rPr>
                <w:rFonts w:cs="Arial"/>
                <w:szCs w:val="22"/>
              </w:rPr>
            </w:pPr>
          </w:p>
        </w:tc>
        <w:tc>
          <w:tcPr>
            <w:tcW w:w="2127" w:type="dxa"/>
          </w:tcPr>
          <w:p w14:paraId="6F4878DA" w14:textId="671A6795" w:rsidR="00107902" w:rsidRPr="009A6C20" w:rsidRDefault="00107902" w:rsidP="001A1CCD">
            <w:pPr>
              <w:jc w:val="right"/>
              <w:rPr>
                <w:rFonts w:cs="Arial"/>
                <w:szCs w:val="22"/>
              </w:rPr>
            </w:pPr>
          </w:p>
        </w:tc>
      </w:tr>
      <w:tr w:rsidR="00107902" w:rsidRPr="009A6C20" w14:paraId="1B5788D5" w14:textId="77777777" w:rsidTr="0067084F">
        <w:tc>
          <w:tcPr>
            <w:tcW w:w="4928" w:type="dxa"/>
          </w:tcPr>
          <w:p w14:paraId="0F725DBC" w14:textId="77777777" w:rsidR="00107902" w:rsidRPr="009A6C20" w:rsidRDefault="00107902" w:rsidP="001A1CCD">
            <w:pPr>
              <w:rPr>
                <w:rFonts w:cs="Arial"/>
                <w:szCs w:val="22"/>
              </w:rPr>
            </w:pPr>
          </w:p>
        </w:tc>
        <w:tc>
          <w:tcPr>
            <w:tcW w:w="1984" w:type="dxa"/>
          </w:tcPr>
          <w:p w14:paraId="5740F87E" w14:textId="77777777" w:rsidR="00107902" w:rsidRPr="009A6C20" w:rsidRDefault="00107902" w:rsidP="001A1CCD">
            <w:pPr>
              <w:jc w:val="right"/>
              <w:rPr>
                <w:rFonts w:cs="Arial"/>
                <w:szCs w:val="22"/>
              </w:rPr>
            </w:pPr>
          </w:p>
        </w:tc>
        <w:tc>
          <w:tcPr>
            <w:tcW w:w="2127" w:type="dxa"/>
          </w:tcPr>
          <w:p w14:paraId="3182A195" w14:textId="7DCB8CF7" w:rsidR="00107902" w:rsidRPr="009A6C20" w:rsidRDefault="00107902" w:rsidP="001A1CCD">
            <w:pPr>
              <w:jc w:val="right"/>
              <w:rPr>
                <w:rFonts w:cs="Arial"/>
                <w:szCs w:val="22"/>
              </w:rPr>
            </w:pPr>
          </w:p>
        </w:tc>
      </w:tr>
      <w:tr w:rsidR="00107902" w:rsidRPr="009A6C20" w14:paraId="7D18A4F4" w14:textId="77777777" w:rsidTr="0067084F">
        <w:tc>
          <w:tcPr>
            <w:tcW w:w="4928" w:type="dxa"/>
          </w:tcPr>
          <w:p w14:paraId="08292415" w14:textId="77777777" w:rsidR="00107902" w:rsidRPr="009A6C20" w:rsidRDefault="00107902" w:rsidP="001A1CCD">
            <w:pPr>
              <w:rPr>
                <w:rFonts w:cs="Arial"/>
                <w:szCs w:val="22"/>
              </w:rPr>
            </w:pPr>
            <w:r w:rsidRPr="009A6C20">
              <w:rPr>
                <w:rFonts w:cs="Arial"/>
                <w:szCs w:val="22"/>
              </w:rPr>
              <w:t>Professional fees and other</w:t>
            </w:r>
            <w:r w:rsidRPr="009A6C20">
              <w:rPr>
                <w:rFonts w:cs="Arial"/>
                <w:szCs w:val="22"/>
              </w:rPr>
              <w:tab/>
            </w:r>
          </w:p>
        </w:tc>
        <w:tc>
          <w:tcPr>
            <w:tcW w:w="1984" w:type="dxa"/>
            <w:vAlign w:val="center"/>
          </w:tcPr>
          <w:p w14:paraId="2E8D686E" w14:textId="34C9658B" w:rsidR="00107902" w:rsidRPr="009A6C20" w:rsidRDefault="00107902" w:rsidP="00107902">
            <w:pPr>
              <w:jc w:val="right"/>
              <w:rPr>
                <w:rFonts w:cs="Arial"/>
                <w:szCs w:val="22"/>
              </w:rPr>
            </w:pPr>
            <w:r w:rsidRPr="009A6C20">
              <w:rPr>
                <w:rFonts w:cs="Arial"/>
                <w:szCs w:val="22"/>
              </w:rPr>
              <w:t>(</w:t>
            </w:r>
            <w:r>
              <w:rPr>
                <w:rFonts w:cs="Arial"/>
                <w:szCs w:val="22"/>
              </w:rPr>
              <w:t>2,468,689</w:t>
            </w:r>
            <w:r w:rsidRPr="009A6C20">
              <w:rPr>
                <w:rFonts w:cs="Arial"/>
                <w:szCs w:val="22"/>
              </w:rPr>
              <w:t>)</w:t>
            </w:r>
          </w:p>
        </w:tc>
        <w:tc>
          <w:tcPr>
            <w:tcW w:w="2127" w:type="dxa"/>
            <w:vAlign w:val="center"/>
          </w:tcPr>
          <w:p w14:paraId="2D59DECB" w14:textId="66A1B517" w:rsidR="00107902" w:rsidRPr="009A6C20" w:rsidRDefault="00107902" w:rsidP="0063718C">
            <w:pPr>
              <w:jc w:val="right"/>
              <w:rPr>
                <w:rFonts w:cs="Arial"/>
                <w:szCs w:val="22"/>
              </w:rPr>
            </w:pPr>
            <w:r w:rsidRPr="009A6C20">
              <w:rPr>
                <w:rFonts w:cs="Arial"/>
                <w:szCs w:val="22"/>
              </w:rPr>
              <w:t>(1,646,002)</w:t>
            </w:r>
          </w:p>
        </w:tc>
      </w:tr>
      <w:tr w:rsidR="00107902" w:rsidRPr="009A6C20" w14:paraId="7DABCCAC" w14:textId="77777777" w:rsidTr="0067084F">
        <w:tc>
          <w:tcPr>
            <w:tcW w:w="4928" w:type="dxa"/>
          </w:tcPr>
          <w:p w14:paraId="357D1E8D" w14:textId="77777777" w:rsidR="00107902" w:rsidRPr="009A6C20" w:rsidRDefault="00107902" w:rsidP="001A1CCD">
            <w:pPr>
              <w:rPr>
                <w:rFonts w:cs="Arial"/>
                <w:szCs w:val="22"/>
              </w:rPr>
            </w:pPr>
            <w:r w:rsidRPr="009A6C20">
              <w:rPr>
                <w:rFonts w:cs="Arial"/>
                <w:szCs w:val="22"/>
              </w:rPr>
              <w:t>Administrative fee</w:t>
            </w:r>
          </w:p>
        </w:tc>
        <w:tc>
          <w:tcPr>
            <w:tcW w:w="1984" w:type="dxa"/>
            <w:vAlign w:val="center"/>
          </w:tcPr>
          <w:p w14:paraId="584629E8" w14:textId="740BEA34" w:rsidR="00107902" w:rsidRPr="009A6C20" w:rsidRDefault="00107902" w:rsidP="001A1CCD">
            <w:pPr>
              <w:jc w:val="right"/>
              <w:rPr>
                <w:rFonts w:cs="Arial"/>
                <w:szCs w:val="22"/>
              </w:rPr>
            </w:pPr>
            <w:r>
              <w:rPr>
                <w:rFonts w:cs="Arial"/>
                <w:szCs w:val="22"/>
              </w:rPr>
              <w:t>(54,000</w:t>
            </w:r>
            <w:r w:rsidRPr="009A6C20">
              <w:rPr>
                <w:rFonts w:cs="Arial"/>
                <w:szCs w:val="22"/>
              </w:rPr>
              <w:t>)</w:t>
            </w:r>
          </w:p>
        </w:tc>
        <w:tc>
          <w:tcPr>
            <w:tcW w:w="2127" w:type="dxa"/>
            <w:vAlign w:val="center"/>
          </w:tcPr>
          <w:p w14:paraId="1C09CF15" w14:textId="5E3924D3" w:rsidR="00107902" w:rsidRPr="009A6C20" w:rsidRDefault="00107902" w:rsidP="001A1CCD">
            <w:pPr>
              <w:jc w:val="right"/>
              <w:rPr>
                <w:rFonts w:cs="Arial"/>
                <w:szCs w:val="22"/>
              </w:rPr>
            </w:pPr>
            <w:r w:rsidRPr="009A6C20">
              <w:rPr>
                <w:rFonts w:cs="Arial"/>
                <w:szCs w:val="22"/>
              </w:rPr>
              <w:t>(54,000)</w:t>
            </w:r>
          </w:p>
        </w:tc>
      </w:tr>
      <w:tr w:rsidR="00107902" w:rsidRPr="009A6C20" w14:paraId="3982DDE4" w14:textId="77777777" w:rsidTr="0067084F">
        <w:tc>
          <w:tcPr>
            <w:tcW w:w="4928" w:type="dxa"/>
          </w:tcPr>
          <w:p w14:paraId="42D7F040" w14:textId="77777777" w:rsidR="00107902" w:rsidRPr="009A6C20" w:rsidRDefault="00107902" w:rsidP="001A1CCD">
            <w:pPr>
              <w:rPr>
                <w:rFonts w:cs="Arial"/>
                <w:szCs w:val="22"/>
              </w:rPr>
            </w:pPr>
            <w:r w:rsidRPr="009A6C20">
              <w:rPr>
                <w:rFonts w:cs="Arial"/>
                <w:szCs w:val="22"/>
              </w:rPr>
              <w:t>Management fee</w:t>
            </w:r>
          </w:p>
        </w:tc>
        <w:tc>
          <w:tcPr>
            <w:tcW w:w="1984" w:type="dxa"/>
            <w:vAlign w:val="center"/>
          </w:tcPr>
          <w:p w14:paraId="3E91EBEC" w14:textId="04927DDA" w:rsidR="00107902" w:rsidRPr="009A6C20" w:rsidRDefault="00107902" w:rsidP="0063718C">
            <w:pPr>
              <w:jc w:val="right"/>
              <w:rPr>
                <w:rFonts w:cs="Arial"/>
                <w:szCs w:val="22"/>
              </w:rPr>
            </w:pPr>
            <w:r>
              <w:rPr>
                <w:rFonts w:cs="Arial"/>
                <w:szCs w:val="22"/>
              </w:rPr>
              <w:t>(18,175</w:t>
            </w:r>
            <w:r w:rsidRPr="009A6C20">
              <w:rPr>
                <w:rFonts w:cs="Arial"/>
                <w:szCs w:val="22"/>
              </w:rPr>
              <w:t>)</w:t>
            </w:r>
          </w:p>
        </w:tc>
        <w:tc>
          <w:tcPr>
            <w:tcW w:w="2127" w:type="dxa"/>
            <w:vAlign w:val="center"/>
          </w:tcPr>
          <w:p w14:paraId="71289433" w14:textId="1E5143DD" w:rsidR="00107902" w:rsidRPr="009A6C20" w:rsidRDefault="00107902" w:rsidP="0063718C">
            <w:pPr>
              <w:jc w:val="right"/>
              <w:rPr>
                <w:rFonts w:cs="Arial"/>
                <w:szCs w:val="22"/>
              </w:rPr>
            </w:pPr>
            <w:r w:rsidRPr="009A6C20">
              <w:rPr>
                <w:rFonts w:cs="Arial"/>
                <w:szCs w:val="22"/>
              </w:rPr>
              <w:t>(22,314)</w:t>
            </w:r>
          </w:p>
        </w:tc>
      </w:tr>
      <w:tr w:rsidR="00107902" w:rsidRPr="009A6C20" w14:paraId="1BF3E789" w14:textId="77777777" w:rsidTr="0067084F">
        <w:tc>
          <w:tcPr>
            <w:tcW w:w="4928" w:type="dxa"/>
          </w:tcPr>
          <w:p w14:paraId="6C8735EA" w14:textId="77777777" w:rsidR="00107902" w:rsidRPr="009A6C20" w:rsidRDefault="00107902" w:rsidP="001A1CCD">
            <w:pPr>
              <w:rPr>
                <w:rFonts w:cs="Arial"/>
                <w:szCs w:val="22"/>
              </w:rPr>
            </w:pPr>
          </w:p>
        </w:tc>
        <w:tc>
          <w:tcPr>
            <w:tcW w:w="1984" w:type="dxa"/>
          </w:tcPr>
          <w:p w14:paraId="514F14B0" w14:textId="77777777" w:rsidR="00107902" w:rsidRPr="009A6C20" w:rsidRDefault="00107902" w:rsidP="001A1CCD">
            <w:pPr>
              <w:jc w:val="right"/>
              <w:rPr>
                <w:rFonts w:cs="Arial"/>
                <w:szCs w:val="22"/>
              </w:rPr>
            </w:pPr>
          </w:p>
        </w:tc>
        <w:tc>
          <w:tcPr>
            <w:tcW w:w="2127" w:type="dxa"/>
          </w:tcPr>
          <w:p w14:paraId="1A2C33CB" w14:textId="159FFE65" w:rsidR="00107902" w:rsidRPr="009A6C20" w:rsidRDefault="00107902" w:rsidP="001A1CCD">
            <w:pPr>
              <w:jc w:val="right"/>
              <w:rPr>
                <w:rFonts w:cs="Arial"/>
                <w:szCs w:val="22"/>
              </w:rPr>
            </w:pPr>
          </w:p>
        </w:tc>
      </w:tr>
      <w:tr w:rsidR="00107902" w:rsidRPr="009A6C20" w14:paraId="10843376" w14:textId="77777777" w:rsidTr="0067084F">
        <w:tc>
          <w:tcPr>
            <w:tcW w:w="4928" w:type="dxa"/>
          </w:tcPr>
          <w:p w14:paraId="77063E38" w14:textId="77777777" w:rsidR="00107902" w:rsidRPr="009A6C20" w:rsidRDefault="00107902" w:rsidP="00590EE9">
            <w:pPr>
              <w:rPr>
                <w:rFonts w:cs="Arial"/>
                <w:szCs w:val="22"/>
              </w:rPr>
            </w:pPr>
            <w:r w:rsidRPr="009A6C20">
              <w:rPr>
                <w:rFonts w:cs="Arial"/>
                <w:szCs w:val="22"/>
              </w:rPr>
              <w:t>Total Company expenses</w:t>
            </w:r>
            <w:r w:rsidRPr="009A6C20">
              <w:rPr>
                <w:rFonts w:cs="Arial"/>
                <w:szCs w:val="22"/>
              </w:rPr>
              <w:tab/>
            </w:r>
          </w:p>
        </w:tc>
        <w:tc>
          <w:tcPr>
            <w:tcW w:w="1984" w:type="dxa"/>
          </w:tcPr>
          <w:p w14:paraId="731F25E8" w14:textId="375E7D99" w:rsidR="00107902" w:rsidRPr="009A6C20" w:rsidRDefault="00107902" w:rsidP="0063718C">
            <w:pPr>
              <w:jc w:val="right"/>
              <w:rPr>
                <w:rFonts w:cs="Arial"/>
                <w:szCs w:val="22"/>
              </w:rPr>
            </w:pPr>
            <w:r>
              <w:rPr>
                <w:rFonts w:cs="Arial"/>
                <w:szCs w:val="22"/>
              </w:rPr>
              <w:t>(2,540,864</w:t>
            </w:r>
            <w:r w:rsidRPr="009A6C20">
              <w:rPr>
                <w:rFonts w:cs="Arial"/>
                <w:szCs w:val="22"/>
              </w:rPr>
              <w:t>)</w:t>
            </w:r>
          </w:p>
        </w:tc>
        <w:tc>
          <w:tcPr>
            <w:tcW w:w="2127" w:type="dxa"/>
          </w:tcPr>
          <w:p w14:paraId="458DE72D" w14:textId="351AA120" w:rsidR="00107902" w:rsidRPr="009A6C20" w:rsidRDefault="00107902" w:rsidP="0063718C">
            <w:pPr>
              <w:jc w:val="right"/>
              <w:rPr>
                <w:rFonts w:cs="Arial"/>
                <w:sz w:val="22"/>
                <w:szCs w:val="22"/>
              </w:rPr>
            </w:pPr>
            <w:r w:rsidRPr="009A6C20">
              <w:rPr>
                <w:rFonts w:cs="Arial"/>
                <w:szCs w:val="22"/>
              </w:rPr>
              <w:t>(1,722,316)</w:t>
            </w:r>
          </w:p>
        </w:tc>
      </w:tr>
      <w:tr w:rsidR="00107902" w:rsidRPr="009A6C20" w14:paraId="24BC0F30" w14:textId="77777777" w:rsidTr="0067084F">
        <w:tc>
          <w:tcPr>
            <w:tcW w:w="4928" w:type="dxa"/>
          </w:tcPr>
          <w:p w14:paraId="3AB6EB24" w14:textId="77777777" w:rsidR="00107902" w:rsidRPr="009A6C20" w:rsidRDefault="00107902" w:rsidP="001A1CCD">
            <w:pPr>
              <w:rPr>
                <w:rFonts w:cs="Arial"/>
                <w:szCs w:val="22"/>
              </w:rPr>
            </w:pPr>
          </w:p>
        </w:tc>
        <w:tc>
          <w:tcPr>
            <w:tcW w:w="1984" w:type="dxa"/>
          </w:tcPr>
          <w:p w14:paraId="0CBBC5CD" w14:textId="77777777" w:rsidR="00107902" w:rsidRPr="009A6C20" w:rsidRDefault="00107902" w:rsidP="001A1CCD">
            <w:pPr>
              <w:jc w:val="right"/>
              <w:rPr>
                <w:rFonts w:cs="Arial"/>
                <w:szCs w:val="22"/>
              </w:rPr>
            </w:pPr>
          </w:p>
        </w:tc>
        <w:tc>
          <w:tcPr>
            <w:tcW w:w="2127" w:type="dxa"/>
          </w:tcPr>
          <w:p w14:paraId="1667A38A" w14:textId="06B738D5" w:rsidR="00107902" w:rsidRPr="009A6C20" w:rsidRDefault="00107902" w:rsidP="001A1CCD">
            <w:pPr>
              <w:jc w:val="right"/>
              <w:rPr>
                <w:rFonts w:cs="Arial"/>
                <w:szCs w:val="22"/>
              </w:rPr>
            </w:pPr>
          </w:p>
        </w:tc>
      </w:tr>
      <w:tr w:rsidR="00107902" w:rsidRPr="009A6C20" w14:paraId="6A6BAFC7" w14:textId="77777777" w:rsidTr="0067084F">
        <w:tc>
          <w:tcPr>
            <w:tcW w:w="4928" w:type="dxa"/>
          </w:tcPr>
          <w:p w14:paraId="5D9F6865" w14:textId="77777777" w:rsidR="00107902" w:rsidRPr="009A6C20" w:rsidRDefault="00107902" w:rsidP="001A1CCD">
            <w:pPr>
              <w:rPr>
                <w:rFonts w:cs="Arial"/>
                <w:szCs w:val="22"/>
              </w:rPr>
            </w:pPr>
          </w:p>
        </w:tc>
        <w:tc>
          <w:tcPr>
            <w:tcW w:w="1984" w:type="dxa"/>
          </w:tcPr>
          <w:p w14:paraId="073EE1E0" w14:textId="77777777" w:rsidR="00107902" w:rsidRPr="009A6C20" w:rsidRDefault="00107902" w:rsidP="001A1CCD">
            <w:pPr>
              <w:jc w:val="right"/>
              <w:rPr>
                <w:rFonts w:cs="Arial"/>
                <w:szCs w:val="22"/>
              </w:rPr>
            </w:pPr>
          </w:p>
        </w:tc>
        <w:tc>
          <w:tcPr>
            <w:tcW w:w="2127" w:type="dxa"/>
          </w:tcPr>
          <w:p w14:paraId="4774E13A" w14:textId="6B3DEA69" w:rsidR="00107902" w:rsidRPr="009A6C20" w:rsidRDefault="00107902" w:rsidP="001A1CCD">
            <w:pPr>
              <w:jc w:val="right"/>
              <w:rPr>
                <w:rFonts w:cs="Arial"/>
                <w:szCs w:val="22"/>
              </w:rPr>
            </w:pPr>
          </w:p>
        </w:tc>
      </w:tr>
      <w:tr w:rsidR="00107902" w:rsidRPr="009A6C20" w14:paraId="249C34C3" w14:textId="77777777" w:rsidTr="0067084F">
        <w:tc>
          <w:tcPr>
            <w:tcW w:w="4928" w:type="dxa"/>
          </w:tcPr>
          <w:p w14:paraId="40434FEB" w14:textId="77777777" w:rsidR="00107902" w:rsidRPr="00D52D46" w:rsidRDefault="00107902" w:rsidP="001A1CCD">
            <w:pPr>
              <w:rPr>
                <w:rFonts w:cs="Arial"/>
                <w:b/>
                <w:szCs w:val="22"/>
              </w:rPr>
            </w:pPr>
            <w:r w:rsidRPr="00D52D46">
              <w:rPr>
                <w:rFonts w:cs="Arial"/>
                <w:b/>
                <w:szCs w:val="22"/>
              </w:rPr>
              <w:t>Net investment loss</w:t>
            </w:r>
          </w:p>
        </w:tc>
        <w:tc>
          <w:tcPr>
            <w:tcW w:w="1984" w:type="dxa"/>
          </w:tcPr>
          <w:p w14:paraId="5436BDE0" w14:textId="73FCF47D" w:rsidR="00107902" w:rsidRPr="009A6C20" w:rsidRDefault="00D52D46" w:rsidP="0063718C">
            <w:pPr>
              <w:jc w:val="right"/>
              <w:rPr>
                <w:rFonts w:cs="Arial"/>
                <w:szCs w:val="22"/>
              </w:rPr>
            </w:pPr>
            <w:r>
              <w:rPr>
                <w:rFonts w:cs="Arial"/>
                <w:szCs w:val="22"/>
              </w:rPr>
              <w:t>(12,332,267</w:t>
            </w:r>
            <w:r w:rsidR="00107902" w:rsidRPr="009A6C20">
              <w:rPr>
                <w:rFonts w:cs="Arial"/>
                <w:szCs w:val="22"/>
              </w:rPr>
              <w:t>)</w:t>
            </w:r>
          </w:p>
        </w:tc>
        <w:tc>
          <w:tcPr>
            <w:tcW w:w="2127" w:type="dxa"/>
          </w:tcPr>
          <w:p w14:paraId="715DB00D" w14:textId="359AE7A2" w:rsidR="00107902" w:rsidRPr="009A6C20" w:rsidRDefault="00107902" w:rsidP="0063718C">
            <w:pPr>
              <w:jc w:val="right"/>
              <w:rPr>
                <w:rFonts w:cs="Arial"/>
                <w:szCs w:val="22"/>
              </w:rPr>
            </w:pPr>
            <w:r w:rsidRPr="009A6C20">
              <w:rPr>
                <w:rFonts w:cs="Arial"/>
                <w:szCs w:val="22"/>
              </w:rPr>
              <w:t>(12,264,777)</w:t>
            </w:r>
          </w:p>
        </w:tc>
      </w:tr>
      <w:tr w:rsidR="00107902" w:rsidRPr="009A6C20" w14:paraId="1747FF58" w14:textId="77777777" w:rsidTr="0067084F">
        <w:tc>
          <w:tcPr>
            <w:tcW w:w="4928" w:type="dxa"/>
          </w:tcPr>
          <w:p w14:paraId="17A0D9FC" w14:textId="77777777" w:rsidR="00107902" w:rsidRPr="009A6C20" w:rsidRDefault="00107902" w:rsidP="001A1CCD">
            <w:pPr>
              <w:rPr>
                <w:rFonts w:cs="Arial"/>
                <w:szCs w:val="22"/>
              </w:rPr>
            </w:pPr>
          </w:p>
        </w:tc>
        <w:tc>
          <w:tcPr>
            <w:tcW w:w="1984" w:type="dxa"/>
          </w:tcPr>
          <w:p w14:paraId="6C2BDE92" w14:textId="77777777" w:rsidR="00107902" w:rsidRPr="009A6C20" w:rsidRDefault="00107902" w:rsidP="001A1CCD">
            <w:pPr>
              <w:jc w:val="right"/>
              <w:rPr>
                <w:rFonts w:cs="Arial"/>
                <w:szCs w:val="22"/>
              </w:rPr>
            </w:pPr>
          </w:p>
        </w:tc>
        <w:tc>
          <w:tcPr>
            <w:tcW w:w="2127" w:type="dxa"/>
          </w:tcPr>
          <w:p w14:paraId="10D7546B" w14:textId="43C2972D" w:rsidR="00107902" w:rsidRPr="009A6C20" w:rsidRDefault="00107902" w:rsidP="001A1CCD">
            <w:pPr>
              <w:jc w:val="right"/>
              <w:rPr>
                <w:rFonts w:cs="Arial"/>
                <w:szCs w:val="22"/>
              </w:rPr>
            </w:pPr>
          </w:p>
        </w:tc>
      </w:tr>
      <w:tr w:rsidR="00107902" w:rsidRPr="009A6C20" w14:paraId="5ED06647" w14:textId="77777777" w:rsidTr="0067084F">
        <w:tc>
          <w:tcPr>
            <w:tcW w:w="4928" w:type="dxa"/>
          </w:tcPr>
          <w:p w14:paraId="401B7E6D" w14:textId="77777777" w:rsidR="00107902" w:rsidRPr="009A6C20" w:rsidRDefault="00107902" w:rsidP="001A1CCD">
            <w:pPr>
              <w:rPr>
                <w:rFonts w:cs="Arial"/>
                <w:szCs w:val="22"/>
              </w:rPr>
            </w:pPr>
          </w:p>
        </w:tc>
        <w:tc>
          <w:tcPr>
            <w:tcW w:w="1984" w:type="dxa"/>
          </w:tcPr>
          <w:p w14:paraId="147FA9BA" w14:textId="77777777" w:rsidR="00107902" w:rsidRPr="009A6C20" w:rsidRDefault="00107902" w:rsidP="001A1CCD">
            <w:pPr>
              <w:jc w:val="right"/>
              <w:rPr>
                <w:rFonts w:cs="Arial"/>
                <w:szCs w:val="22"/>
              </w:rPr>
            </w:pPr>
          </w:p>
        </w:tc>
        <w:tc>
          <w:tcPr>
            <w:tcW w:w="2127" w:type="dxa"/>
          </w:tcPr>
          <w:p w14:paraId="79CE02EC" w14:textId="5E81BB91" w:rsidR="00107902" w:rsidRPr="009A6C20" w:rsidRDefault="00107902" w:rsidP="001A1CCD">
            <w:pPr>
              <w:jc w:val="right"/>
              <w:rPr>
                <w:rFonts w:cs="Arial"/>
                <w:szCs w:val="22"/>
              </w:rPr>
            </w:pPr>
          </w:p>
        </w:tc>
      </w:tr>
      <w:tr w:rsidR="00107902" w:rsidRPr="009A6C20" w14:paraId="4992A6B7" w14:textId="77777777" w:rsidTr="0067084F">
        <w:tc>
          <w:tcPr>
            <w:tcW w:w="4928" w:type="dxa"/>
          </w:tcPr>
          <w:p w14:paraId="7BF0AB19" w14:textId="446E8B7D" w:rsidR="00107902" w:rsidRPr="009A6C20" w:rsidRDefault="00D52D46" w:rsidP="0063718C">
            <w:pPr>
              <w:autoSpaceDE w:val="0"/>
              <w:autoSpaceDN w:val="0"/>
              <w:adjustRightInd w:val="0"/>
              <w:rPr>
                <w:rFonts w:cs="Arial"/>
                <w:b/>
                <w:szCs w:val="22"/>
              </w:rPr>
            </w:pPr>
            <w:r>
              <w:rPr>
                <w:rFonts w:cs="Arial"/>
                <w:b/>
                <w:szCs w:val="22"/>
              </w:rPr>
              <w:t xml:space="preserve">Net realised gain and net decrease </w:t>
            </w:r>
            <w:r w:rsidR="00107902" w:rsidRPr="009A6C20">
              <w:rPr>
                <w:rFonts w:cs="Arial"/>
                <w:b/>
                <w:szCs w:val="22"/>
              </w:rPr>
              <w:t>in unrealised appreciation on securities allocated from CATCo Reinsurance Fund Ltd. -</w:t>
            </w:r>
          </w:p>
          <w:p w14:paraId="5AE0E135" w14:textId="77777777" w:rsidR="00107902" w:rsidRPr="009A6C20" w:rsidRDefault="00107902" w:rsidP="0063718C">
            <w:pPr>
              <w:contextualSpacing/>
              <w:rPr>
                <w:rFonts w:cs="Arial"/>
                <w:b/>
                <w:szCs w:val="22"/>
              </w:rPr>
            </w:pPr>
            <w:r w:rsidRPr="009A6C20">
              <w:rPr>
                <w:rFonts w:cs="Arial"/>
                <w:b/>
                <w:szCs w:val="22"/>
              </w:rPr>
              <w:t>CATCo Diversified Fund</w:t>
            </w:r>
          </w:p>
        </w:tc>
        <w:tc>
          <w:tcPr>
            <w:tcW w:w="1984" w:type="dxa"/>
          </w:tcPr>
          <w:p w14:paraId="7178A9AB" w14:textId="77777777" w:rsidR="00107902" w:rsidRPr="009A6C20" w:rsidRDefault="00107902" w:rsidP="001A1CCD">
            <w:pPr>
              <w:jc w:val="right"/>
              <w:rPr>
                <w:rFonts w:cs="Arial"/>
                <w:szCs w:val="22"/>
              </w:rPr>
            </w:pPr>
          </w:p>
        </w:tc>
        <w:tc>
          <w:tcPr>
            <w:tcW w:w="2127" w:type="dxa"/>
          </w:tcPr>
          <w:p w14:paraId="002C834D" w14:textId="1B64B02B" w:rsidR="00107902" w:rsidRPr="009A6C20" w:rsidRDefault="00107902" w:rsidP="001A1CCD">
            <w:pPr>
              <w:jc w:val="right"/>
              <w:rPr>
                <w:rFonts w:cs="Arial"/>
                <w:szCs w:val="22"/>
              </w:rPr>
            </w:pPr>
          </w:p>
        </w:tc>
      </w:tr>
      <w:tr w:rsidR="00107902" w:rsidRPr="009A6C20" w14:paraId="6743EFA2" w14:textId="77777777" w:rsidTr="0067084F">
        <w:tc>
          <w:tcPr>
            <w:tcW w:w="4928" w:type="dxa"/>
          </w:tcPr>
          <w:p w14:paraId="1A12A57B" w14:textId="77777777" w:rsidR="00107902" w:rsidRPr="009A6C20" w:rsidRDefault="00107902" w:rsidP="001A1CCD">
            <w:pPr>
              <w:contextualSpacing/>
              <w:rPr>
                <w:rFonts w:cs="Arial"/>
                <w:b/>
                <w:szCs w:val="22"/>
              </w:rPr>
            </w:pPr>
          </w:p>
        </w:tc>
        <w:tc>
          <w:tcPr>
            <w:tcW w:w="1984" w:type="dxa"/>
          </w:tcPr>
          <w:p w14:paraId="7834F4EB" w14:textId="77777777" w:rsidR="00107902" w:rsidRPr="009A6C20" w:rsidRDefault="00107902" w:rsidP="001A1CCD">
            <w:pPr>
              <w:jc w:val="right"/>
              <w:rPr>
                <w:rFonts w:cs="Arial"/>
                <w:szCs w:val="22"/>
              </w:rPr>
            </w:pPr>
          </w:p>
        </w:tc>
        <w:tc>
          <w:tcPr>
            <w:tcW w:w="2127" w:type="dxa"/>
          </w:tcPr>
          <w:p w14:paraId="586321D8" w14:textId="70A69012" w:rsidR="00107902" w:rsidRPr="009A6C20" w:rsidRDefault="00107902" w:rsidP="001A1CCD">
            <w:pPr>
              <w:jc w:val="right"/>
              <w:rPr>
                <w:rFonts w:cs="Arial"/>
                <w:szCs w:val="22"/>
              </w:rPr>
            </w:pPr>
          </w:p>
        </w:tc>
      </w:tr>
      <w:tr w:rsidR="00107902" w:rsidRPr="009A6C20" w14:paraId="2C8DA5BA" w14:textId="77777777" w:rsidTr="0067084F">
        <w:tc>
          <w:tcPr>
            <w:tcW w:w="4928" w:type="dxa"/>
          </w:tcPr>
          <w:p w14:paraId="344D0B38" w14:textId="77777777" w:rsidR="00107902" w:rsidRPr="009A6C20" w:rsidRDefault="00107902" w:rsidP="001A1CCD">
            <w:pPr>
              <w:contextualSpacing/>
              <w:rPr>
                <w:rFonts w:cs="Arial"/>
                <w:b/>
                <w:szCs w:val="22"/>
              </w:rPr>
            </w:pPr>
            <w:r w:rsidRPr="009A6C20">
              <w:rPr>
                <w:rFonts w:cs="Arial"/>
                <w:szCs w:val="22"/>
              </w:rPr>
              <w:t>Net realised gain on securities</w:t>
            </w:r>
            <w:r w:rsidRPr="009A6C20">
              <w:rPr>
                <w:rFonts w:cs="Arial"/>
                <w:szCs w:val="22"/>
              </w:rPr>
              <w:tab/>
            </w:r>
          </w:p>
        </w:tc>
        <w:tc>
          <w:tcPr>
            <w:tcW w:w="1984" w:type="dxa"/>
            <w:vAlign w:val="center"/>
          </w:tcPr>
          <w:p w14:paraId="2A37C030" w14:textId="3AEC1DBF" w:rsidR="00107902" w:rsidRPr="009A6C20" w:rsidRDefault="00D52D46" w:rsidP="001A1CCD">
            <w:pPr>
              <w:jc w:val="right"/>
              <w:rPr>
                <w:rFonts w:cs="Arial"/>
                <w:szCs w:val="22"/>
              </w:rPr>
            </w:pPr>
            <w:r>
              <w:rPr>
                <w:rFonts w:cs="Arial"/>
                <w:szCs w:val="22"/>
              </w:rPr>
              <w:t>51,154,11</w:t>
            </w:r>
            <w:r w:rsidR="00390A6D">
              <w:rPr>
                <w:rFonts w:cs="Arial"/>
                <w:szCs w:val="22"/>
              </w:rPr>
              <w:t>3</w:t>
            </w:r>
            <w:r w:rsidR="00107902" w:rsidRPr="009A6C20">
              <w:rPr>
                <w:rFonts w:cs="Arial"/>
                <w:szCs w:val="22"/>
              </w:rPr>
              <w:t xml:space="preserve">   </w:t>
            </w:r>
          </w:p>
        </w:tc>
        <w:tc>
          <w:tcPr>
            <w:tcW w:w="2127" w:type="dxa"/>
            <w:vAlign w:val="center"/>
          </w:tcPr>
          <w:p w14:paraId="0AB4365E" w14:textId="1D074B44" w:rsidR="00107902" w:rsidRPr="009A6C20" w:rsidRDefault="00107902" w:rsidP="001A1CCD">
            <w:pPr>
              <w:jc w:val="right"/>
              <w:rPr>
                <w:rFonts w:cs="Arial"/>
                <w:szCs w:val="22"/>
              </w:rPr>
            </w:pPr>
            <w:r w:rsidRPr="009A6C20">
              <w:rPr>
                <w:rFonts w:cs="Arial"/>
                <w:szCs w:val="22"/>
              </w:rPr>
              <w:t xml:space="preserve">78,813,489   </w:t>
            </w:r>
          </w:p>
        </w:tc>
      </w:tr>
      <w:tr w:rsidR="00107902" w:rsidRPr="009A6C20" w14:paraId="262DE3C8" w14:textId="77777777" w:rsidTr="0067084F">
        <w:tc>
          <w:tcPr>
            <w:tcW w:w="4928" w:type="dxa"/>
          </w:tcPr>
          <w:p w14:paraId="511BA311" w14:textId="5AC171BB" w:rsidR="00107902" w:rsidRPr="009A6C20" w:rsidRDefault="00D52D46" w:rsidP="0063718C">
            <w:pPr>
              <w:contextualSpacing/>
              <w:rPr>
                <w:rFonts w:cs="Arial"/>
                <w:szCs w:val="22"/>
              </w:rPr>
            </w:pPr>
            <w:r>
              <w:rPr>
                <w:rFonts w:cs="Arial"/>
                <w:szCs w:val="22"/>
              </w:rPr>
              <w:t>Net decrease</w:t>
            </w:r>
            <w:r w:rsidR="00107902" w:rsidRPr="009A6C20">
              <w:rPr>
                <w:rFonts w:cs="Arial"/>
                <w:szCs w:val="22"/>
              </w:rPr>
              <w:t xml:space="preserve"> / increase in unrealised appreciation on securities</w:t>
            </w:r>
            <w:r w:rsidR="00107902" w:rsidRPr="009A6C20">
              <w:rPr>
                <w:rFonts w:cs="Arial"/>
                <w:szCs w:val="22"/>
              </w:rPr>
              <w:tab/>
            </w:r>
          </w:p>
        </w:tc>
        <w:tc>
          <w:tcPr>
            <w:tcW w:w="1984" w:type="dxa"/>
            <w:vAlign w:val="bottom"/>
          </w:tcPr>
          <w:p w14:paraId="764879D6" w14:textId="16E4CE33" w:rsidR="00107902" w:rsidRPr="009A6C20" w:rsidRDefault="00D52D46" w:rsidP="00D52D46">
            <w:pPr>
              <w:jc w:val="right"/>
              <w:rPr>
                <w:rFonts w:cs="Arial"/>
                <w:szCs w:val="22"/>
              </w:rPr>
            </w:pPr>
            <w:r>
              <w:rPr>
                <w:rFonts w:cs="Arial"/>
                <w:szCs w:val="22"/>
              </w:rPr>
              <w:t>(2,445,883)</w:t>
            </w:r>
            <w:r w:rsidR="00107902" w:rsidRPr="009A6C20">
              <w:rPr>
                <w:rFonts w:cs="Arial"/>
                <w:szCs w:val="22"/>
              </w:rPr>
              <w:t xml:space="preserve"> </w:t>
            </w:r>
          </w:p>
        </w:tc>
        <w:tc>
          <w:tcPr>
            <w:tcW w:w="2127" w:type="dxa"/>
            <w:vAlign w:val="bottom"/>
          </w:tcPr>
          <w:p w14:paraId="2C4B9C7E" w14:textId="7CB3F217" w:rsidR="00107902" w:rsidRPr="009A6C20" w:rsidRDefault="00107902" w:rsidP="00D52D46">
            <w:pPr>
              <w:jc w:val="right"/>
              <w:rPr>
                <w:rFonts w:cs="Arial"/>
                <w:szCs w:val="22"/>
              </w:rPr>
            </w:pPr>
            <w:r w:rsidRPr="009A6C20">
              <w:rPr>
                <w:rFonts w:cs="Arial"/>
                <w:szCs w:val="22"/>
              </w:rPr>
              <w:t xml:space="preserve">(18,697,603) </w:t>
            </w:r>
          </w:p>
        </w:tc>
      </w:tr>
      <w:tr w:rsidR="00107902" w:rsidRPr="009A6C20" w14:paraId="5AE3FCF6" w14:textId="77777777" w:rsidTr="0067084F">
        <w:tc>
          <w:tcPr>
            <w:tcW w:w="4928" w:type="dxa"/>
          </w:tcPr>
          <w:p w14:paraId="49883B69" w14:textId="77777777" w:rsidR="00107902" w:rsidRPr="009A6C20" w:rsidRDefault="00107902" w:rsidP="001A1CCD">
            <w:pPr>
              <w:contextualSpacing/>
              <w:rPr>
                <w:rFonts w:cs="Arial"/>
                <w:szCs w:val="22"/>
              </w:rPr>
            </w:pPr>
          </w:p>
        </w:tc>
        <w:tc>
          <w:tcPr>
            <w:tcW w:w="1984" w:type="dxa"/>
          </w:tcPr>
          <w:p w14:paraId="52832163" w14:textId="77777777" w:rsidR="00107902" w:rsidRPr="009A6C20" w:rsidRDefault="00107902" w:rsidP="001A1CCD">
            <w:pPr>
              <w:jc w:val="right"/>
              <w:rPr>
                <w:rFonts w:cs="Arial"/>
                <w:szCs w:val="22"/>
              </w:rPr>
            </w:pPr>
          </w:p>
        </w:tc>
        <w:tc>
          <w:tcPr>
            <w:tcW w:w="2127" w:type="dxa"/>
          </w:tcPr>
          <w:p w14:paraId="0A5BF720" w14:textId="33D4F649" w:rsidR="00107902" w:rsidRPr="009A6C20" w:rsidRDefault="00107902" w:rsidP="001A1CCD">
            <w:pPr>
              <w:jc w:val="right"/>
              <w:rPr>
                <w:rFonts w:cs="Arial"/>
                <w:szCs w:val="22"/>
              </w:rPr>
            </w:pPr>
          </w:p>
        </w:tc>
      </w:tr>
      <w:tr w:rsidR="00107902" w:rsidRPr="009A6C20" w14:paraId="67CF2805" w14:textId="77777777" w:rsidTr="0067084F">
        <w:tc>
          <w:tcPr>
            <w:tcW w:w="4928" w:type="dxa"/>
          </w:tcPr>
          <w:p w14:paraId="776C3F02" w14:textId="77777777" w:rsidR="00107902" w:rsidRPr="009A6C20" w:rsidRDefault="00107902" w:rsidP="001A1CCD">
            <w:pPr>
              <w:contextualSpacing/>
              <w:rPr>
                <w:rFonts w:cs="Arial"/>
                <w:szCs w:val="22"/>
              </w:rPr>
            </w:pPr>
          </w:p>
        </w:tc>
        <w:tc>
          <w:tcPr>
            <w:tcW w:w="1984" w:type="dxa"/>
          </w:tcPr>
          <w:p w14:paraId="4874C1C6" w14:textId="77777777" w:rsidR="00107902" w:rsidRPr="009A6C20" w:rsidRDefault="00107902" w:rsidP="001A1CCD">
            <w:pPr>
              <w:jc w:val="right"/>
              <w:rPr>
                <w:rFonts w:cs="Arial"/>
                <w:szCs w:val="22"/>
              </w:rPr>
            </w:pPr>
          </w:p>
        </w:tc>
        <w:tc>
          <w:tcPr>
            <w:tcW w:w="2127" w:type="dxa"/>
          </w:tcPr>
          <w:p w14:paraId="0EBA212C" w14:textId="6C5273D9" w:rsidR="00107902" w:rsidRPr="009A6C20" w:rsidRDefault="00107902" w:rsidP="001A1CCD">
            <w:pPr>
              <w:jc w:val="right"/>
              <w:rPr>
                <w:rFonts w:cs="Arial"/>
                <w:szCs w:val="22"/>
              </w:rPr>
            </w:pPr>
          </w:p>
        </w:tc>
      </w:tr>
      <w:tr w:rsidR="00107902" w:rsidRPr="009A6C20" w14:paraId="4B6DBDDF" w14:textId="77777777" w:rsidTr="0067084F">
        <w:tc>
          <w:tcPr>
            <w:tcW w:w="4928" w:type="dxa"/>
          </w:tcPr>
          <w:p w14:paraId="113F3717" w14:textId="77777777" w:rsidR="00107902" w:rsidRPr="009A6C20" w:rsidRDefault="00107902" w:rsidP="00806DDE">
            <w:pPr>
              <w:contextualSpacing/>
              <w:rPr>
                <w:rFonts w:cs="Arial"/>
                <w:szCs w:val="22"/>
              </w:rPr>
            </w:pPr>
            <w:r w:rsidRPr="009A6C20">
              <w:rPr>
                <w:rFonts w:cs="Arial"/>
                <w:b/>
                <w:szCs w:val="22"/>
              </w:rPr>
              <w:t>Net gain on securities</w:t>
            </w:r>
          </w:p>
        </w:tc>
        <w:tc>
          <w:tcPr>
            <w:tcW w:w="1984" w:type="dxa"/>
          </w:tcPr>
          <w:p w14:paraId="5EED8C74" w14:textId="6B32BC30" w:rsidR="00107902" w:rsidRPr="009A6C20" w:rsidRDefault="00D52D46" w:rsidP="001A1CCD">
            <w:pPr>
              <w:jc w:val="right"/>
              <w:rPr>
                <w:rFonts w:cs="Arial"/>
                <w:szCs w:val="22"/>
              </w:rPr>
            </w:pPr>
            <w:r>
              <w:rPr>
                <w:rFonts w:cs="Arial"/>
                <w:szCs w:val="22"/>
              </w:rPr>
              <w:t>48,708,230</w:t>
            </w:r>
          </w:p>
        </w:tc>
        <w:tc>
          <w:tcPr>
            <w:tcW w:w="2127" w:type="dxa"/>
          </w:tcPr>
          <w:p w14:paraId="413116B7" w14:textId="7204C8F4" w:rsidR="00107902" w:rsidRPr="009A6C20" w:rsidRDefault="00107902" w:rsidP="001A1CCD">
            <w:pPr>
              <w:jc w:val="right"/>
              <w:rPr>
                <w:rFonts w:cs="Arial"/>
                <w:szCs w:val="22"/>
              </w:rPr>
            </w:pPr>
            <w:r w:rsidRPr="009A6C20">
              <w:rPr>
                <w:rFonts w:cs="Arial"/>
                <w:szCs w:val="22"/>
              </w:rPr>
              <w:t>60,115,886</w:t>
            </w:r>
          </w:p>
        </w:tc>
      </w:tr>
      <w:tr w:rsidR="00107902" w:rsidRPr="009A6C20" w14:paraId="5703F832" w14:textId="77777777" w:rsidTr="0067084F">
        <w:tc>
          <w:tcPr>
            <w:tcW w:w="4928" w:type="dxa"/>
          </w:tcPr>
          <w:p w14:paraId="4C19FC63" w14:textId="77777777" w:rsidR="00107902" w:rsidRPr="009A6C20" w:rsidRDefault="00107902" w:rsidP="001A1CCD">
            <w:pPr>
              <w:contextualSpacing/>
              <w:rPr>
                <w:rFonts w:cs="Arial"/>
                <w:szCs w:val="22"/>
              </w:rPr>
            </w:pPr>
          </w:p>
        </w:tc>
        <w:tc>
          <w:tcPr>
            <w:tcW w:w="1984" w:type="dxa"/>
          </w:tcPr>
          <w:p w14:paraId="4EE2E8F3" w14:textId="77777777" w:rsidR="00107902" w:rsidRPr="009A6C20" w:rsidRDefault="00107902" w:rsidP="001A1CCD">
            <w:pPr>
              <w:jc w:val="right"/>
              <w:rPr>
                <w:rFonts w:cs="Arial"/>
                <w:szCs w:val="22"/>
              </w:rPr>
            </w:pPr>
          </w:p>
        </w:tc>
        <w:tc>
          <w:tcPr>
            <w:tcW w:w="2127" w:type="dxa"/>
          </w:tcPr>
          <w:p w14:paraId="1BF43CC8" w14:textId="18995A9A" w:rsidR="00107902" w:rsidRPr="009A6C20" w:rsidRDefault="00107902" w:rsidP="001A1CCD">
            <w:pPr>
              <w:jc w:val="right"/>
              <w:rPr>
                <w:rFonts w:cs="Arial"/>
                <w:szCs w:val="22"/>
              </w:rPr>
            </w:pPr>
          </w:p>
        </w:tc>
      </w:tr>
      <w:tr w:rsidR="00107902" w:rsidRPr="009A6C20" w14:paraId="5158015F" w14:textId="77777777" w:rsidTr="0067084F">
        <w:tc>
          <w:tcPr>
            <w:tcW w:w="4928" w:type="dxa"/>
          </w:tcPr>
          <w:p w14:paraId="4E556942" w14:textId="77777777" w:rsidR="00107902" w:rsidRPr="009A6C20" w:rsidRDefault="00107902" w:rsidP="001A1CCD">
            <w:pPr>
              <w:contextualSpacing/>
              <w:rPr>
                <w:rFonts w:cs="Arial"/>
                <w:szCs w:val="22"/>
              </w:rPr>
            </w:pPr>
          </w:p>
        </w:tc>
        <w:tc>
          <w:tcPr>
            <w:tcW w:w="1984" w:type="dxa"/>
          </w:tcPr>
          <w:p w14:paraId="5ADAFCEC" w14:textId="77777777" w:rsidR="00107902" w:rsidRPr="009A6C20" w:rsidRDefault="00107902" w:rsidP="001A1CCD">
            <w:pPr>
              <w:jc w:val="right"/>
              <w:rPr>
                <w:rFonts w:cs="Arial"/>
                <w:szCs w:val="22"/>
              </w:rPr>
            </w:pPr>
          </w:p>
        </w:tc>
        <w:tc>
          <w:tcPr>
            <w:tcW w:w="2127" w:type="dxa"/>
          </w:tcPr>
          <w:p w14:paraId="3DB3F3AD" w14:textId="754C0CB9" w:rsidR="00107902" w:rsidRPr="009A6C20" w:rsidRDefault="00107902" w:rsidP="001A1CCD">
            <w:pPr>
              <w:jc w:val="right"/>
              <w:rPr>
                <w:rFonts w:cs="Arial"/>
                <w:szCs w:val="22"/>
              </w:rPr>
            </w:pPr>
          </w:p>
        </w:tc>
      </w:tr>
      <w:tr w:rsidR="00107902" w:rsidRPr="009A6C20" w14:paraId="6A7FE168" w14:textId="77777777" w:rsidTr="0067084F">
        <w:tc>
          <w:tcPr>
            <w:tcW w:w="4928" w:type="dxa"/>
          </w:tcPr>
          <w:p w14:paraId="38396F4E" w14:textId="77777777" w:rsidR="00107902" w:rsidRPr="009A6C20" w:rsidRDefault="00107902" w:rsidP="001A1CCD">
            <w:pPr>
              <w:contextualSpacing/>
              <w:rPr>
                <w:rFonts w:cs="Arial"/>
                <w:szCs w:val="22"/>
              </w:rPr>
            </w:pPr>
            <w:r w:rsidRPr="009A6C20">
              <w:rPr>
                <w:rFonts w:cs="Arial"/>
                <w:b/>
                <w:szCs w:val="22"/>
              </w:rPr>
              <w:t>Net increase in net assets resulting from operations</w:t>
            </w:r>
            <w:r w:rsidRPr="009A6C20">
              <w:rPr>
                <w:rFonts w:cs="Arial"/>
                <w:b/>
                <w:szCs w:val="22"/>
              </w:rPr>
              <w:tab/>
            </w:r>
          </w:p>
        </w:tc>
        <w:tc>
          <w:tcPr>
            <w:tcW w:w="1984" w:type="dxa"/>
            <w:vAlign w:val="bottom"/>
          </w:tcPr>
          <w:p w14:paraId="29C13098" w14:textId="4F6C477C" w:rsidR="00107902" w:rsidRPr="009A6C20" w:rsidRDefault="00D52D46" w:rsidP="00D52D46">
            <w:pPr>
              <w:jc w:val="right"/>
              <w:rPr>
                <w:rFonts w:cs="Arial"/>
                <w:szCs w:val="22"/>
              </w:rPr>
            </w:pPr>
            <w:r>
              <w:rPr>
                <w:rFonts w:cs="Arial"/>
                <w:szCs w:val="22"/>
              </w:rPr>
              <w:t>36,375,963</w:t>
            </w:r>
          </w:p>
        </w:tc>
        <w:tc>
          <w:tcPr>
            <w:tcW w:w="2127" w:type="dxa"/>
            <w:vAlign w:val="bottom"/>
          </w:tcPr>
          <w:p w14:paraId="0E6FDC5B" w14:textId="3243391B" w:rsidR="00107902" w:rsidRPr="009A6C20" w:rsidRDefault="00107902" w:rsidP="00D52D46">
            <w:pPr>
              <w:jc w:val="right"/>
              <w:rPr>
                <w:rFonts w:cs="Arial"/>
                <w:szCs w:val="22"/>
              </w:rPr>
            </w:pPr>
            <w:r w:rsidRPr="009A6C20">
              <w:rPr>
                <w:rFonts w:cs="Arial"/>
                <w:szCs w:val="22"/>
              </w:rPr>
              <w:t>47,851,109</w:t>
            </w:r>
          </w:p>
        </w:tc>
      </w:tr>
    </w:tbl>
    <w:p w14:paraId="2D7375AF" w14:textId="77777777" w:rsidR="004F53FA" w:rsidRPr="009A6C20" w:rsidRDefault="004F53FA" w:rsidP="00AB00EE">
      <w:pPr>
        <w:rPr>
          <w:rFonts w:cs="Arial"/>
          <w:szCs w:val="22"/>
        </w:rPr>
      </w:pPr>
    </w:p>
    <w:p w14:paraId="41767BD6" w14:textId="77777777" w:rsidR="00556FE6" w:rsidRPr="009A6C20" w:rsidRDefault="0063718C" w:rsidP="00AB00EE">
      <w:pPr>
        <w:rPr>
          <w:rFonts w:cs="Arial"/>
          <w:szCs w:val="22"/>
        </w:rPr>
      </w:pPr>
      <w:r w:rsidRPr="009A6C20">
        <w:rPr>
          <w:rFonts w:cs="Arial"/>
          <w:szCs w:val="22"/>
        </w:rPr>
        <w:t>See accompanying N</w:t>
      </w:r>
      <w:r w:rsidR="001A1CCD" w:rsidRPr="009A6C20">
        <w:rPr>
          <w:rFonts w:cs="Arial"/>
          <w:szCs w:val="22"/>
        </w:rPr>
        <w:t>otes</w:t>
      </w:r>
      <w:r w:rsidR="004F53FA" w:rsidRPr="009A6C20">
        <w:rPr>
          <w:rFonts w:cs="Arial"/>
          <w:szCs w:val="22"/>
        </w:rPr>
        <w:t xml:space="preserve"> to Financial Statements</w:t>
      </w:r>
    </w:p>
    <w:p w14:paraId="7979A298" w14:textId="77777777" w:rsidR="00556FE6" w:rsidRPr="009A6C20" w:rsidRDefault="00556FE6" w:rsidP="00AB00EE">
      <w:pPr>
        <w:rPr>
          <w:rFonts w:cs="Arial"/>
        </w:rPr>
      </w:pPr>
      <w:r w:rsidRPr="009A6C20">
        <w:rPr>
          <w:rFonts w:cs="Arial"/>
        </w:rPr>
        <w:tab/>
      </w:r>
      <w:r w:rsidRPr="009A6C20">
        <w:rPr>
          <w:rFonts w:cs="Arial"/>
        </w:rPr>
        <w:tab/>
      </w:r>
      <w:r w:rsidRPr="009A6C20">
        <w:rPr>
          <w:rFonts w:cs="Arial"/>
        </w:rPr>
        <w:tab/>
      </w:r>
      <w:r w:rsidRPr="009A6C20">
        <w:rPr>
          <w:rFonts w:cs="Arial"/>
        </w:rPr>
        <w:tab/>
      </w:r>
      <w:r w:rsidRPr="009A6C20">
        <w:rPr>
          <w:rFonts w:cs="Arial"/>
        </w:rPr>
        <w:tab/>
      </w:r>
      <w:r w:rsidRPr="009A6C20">
        <w:rPr>
          <w:rFonts w:cs="Arial"/>
        </w:rPr>
        <w:tab/>
      </w:r>
      <w:r w:rsidRPr="009A6C20">
        <w:rPr>
          <w:rFonts w:cs="Arial"/>
        </w:rPr>
        <w:tab/>
      </w:r>
      <w:r w:rsidRPr="009A6C20">
        <w:rPr>
          <w:rFonts w:cs="Arial"/>
        </w:rPr>
        <w:tab/>
      </w:r>
    </w:p>
    <w:p w14:paraId="53082F3D" w14:textId="77777777" w:rsidR="00590EE9" w:rsidRDefault="00590EE9" w:rsidP="00406A15">
      <w:pPr>
        <w:rPr>
          <w:b/>
          <w:szCs w:val="22"/>
        </w:rPr>
      </w:pPr>
    </w:p>
    <w:p w14:paraId="4D78E51D" w14:textId="77777777" w:rsidR="0067084F" w:rsidRDefault="0067084F" w:rsidP="00406A15">
      <w:pPr>
        <w:rPr>
          <w:rFonts w:cs="Arial"/>
          <w:b/>
          <w:szCs w:val="22"/>
        </w:rPr>
      </w:pPr>
    </w:p>
    <w:p w14:paraId="31FA5C42" w14:textId="77777777" w:rsidR="0067084F" w:rsidRDefault="0067084F" w:rsidP="00406A15">
      <w:pPr>
        <w:rPr>
          <w:rFonts w:cs="Arial"/>
          <w:b/>
          <w:szCs w:val="22"/>
        </w:rPr>
      </w:pPr>
    </w:p>
    <w:p w14:paraId="026DE3B8" w14:textId="268D188B" w:rsidR="001A1CCD" w:rsidRPr="009A6C20" w:rsidRDefault="00556FE6" w:rsidP="00406A15">
      <w:pPr>
        <w:rPr>
          <w:rFonts w:cs="Arial"/>
          <w:b/>
          <w:szCs w:val="22"/>
        </w:rPr>
      </w:pPr>
      <w:r w:rsidRPr="009A6C20">
        <w:rPr>
          <w:rFonts w:cs="Arial"/>
          <w:b/>
          <w:szCs w:val="22"/>
        </w:rPr>
        <w:t>AUDITED STATEMENT</w:t>
      </w:r>
      <w:r w:rsidR="00BD66D2" w:rsidRPr="009A6C20">
        <w:rPr>
          <w:rFonts w:cs="Arial"/>
          <w:b/>
          <w:szCs w:val="22"/>
        </w:rPr>
        <w:t>S</w:t>
      </w:r>
      <w:r w:rsidRPr="009A6C20">
        <w:rPr>
          <w:rFonts w:cs="Arial"/>
          <w:b/>
          <w:szCs w:val="22"/>
        </w:rPr>
        <w:t xml:space="preserve"> OF CHANGES IN NET ASSETS </w:t>
      </w:r>
    </w:p>
    <w:p w14:paraId="4CC5C436" w14:textId="77777777" w:rsidR="001A1CCD" w:rsidRPr="009A6C20" w:rsidRDefault="001A1CCD" w:rsidP="001A1CCD">
      <w:pPr>
        <w:rPr>
          <w:rFonts w:cs="Arial"/>
          <w:b/>
          <w:szCs w:val="22"/>
        </w:rPr>
      </w:pPr>
      <w:r w:rsidRPr="009A6C20">
        <w:rPr>
          <w:rFonts w:cs="Arial"/>
          <w:b/>
          <w:szCs w:val="22"/>
        </w:rPr>
        <w:tab/>
      </w:r>
      <w:r w:rsidRPr="009A6C20">
        <w:rPr>
          <w:rFonts w:cs="Arial"/>
          <w:b/>
          <w:szCs w:val="22"/>
        </w:rPr>
        <w:tab/>
      </w:r>
      <w:r w:rsidRPr="009A6C20">
        <w:rPr>
          <w:rFonts w:cs="Arial"/>
          <w:b/>
          <w:szCs w:val="22"/>
        </w:rPr>
        <w:tab/>
      </w:r>
    </w:p>
    <w:tbl>
      <w:tblPr>
        <w:tblStyle w:val="TableGrid"/>
        <w:tblW w:w="0" w:type="auto"/>
        <w:tblLook w:val="04A0" w:firstRow="1" w:lastRow="0" w:firstColumn="1" w:lastColumn="0" w:noHBand="0" w:noVBand="1"/>
      </w:tblPr>
      <w:tblGrid>
        <w:gridCol w:w="4964"/>
        <w:gridCol w:w="2016"/>
        <w:gridCol w:w="2016"/>
      </w:tblGrid>
      <w:tr w:rsidR="00D52D46" w:rsidRPr="009A6C20" w14:paraId="2074AB90" w14:textId="77777777" w:rsidTr="00D52D46">
        <w:tc>
          <w:tcPr>
            <w:tcW w:w="4964" w:type="dxa"/>
          </w:tcPr>
          <w:p w14:paraId="5A053890" w14:textId="77777777" w:rsidR="00D52D46" w:rsidRPr="009A6C20" w:rsidRDefault="00D52D46" w:rsidP="001A1CCD">
            <w:pPr>
              <w:rPr>
                <w:rFonts w:cs="Arial"/>
                <w:i/>
                <w:szCs w:val="22"/>
              </w:rPr>
            </w:pPr>
          </w:p>
          <w:p w14:paraId="1557E134" w14:textId="77777777" w:rsidR="00D52D46" w:rsidRPr="009A6C20" w:rsidRDefault="00D52D46" w:rsidP="001A1CCD">
            <w:pPr>
              <w:rPr>
                <w:rFonts w:cs="Arial"/>
                <w:i/>
                <w:szCs w:val="22"/>
              </w:rPr>
            </w:pPr>
            <w:r w:rsidRPr="009A6C20">
              <w:rPr>
                <w:rFonts w:cs="Arial"/>
                <w:i/>
                <w:szCs w:val="22"/>
              </w:rPr>
              <w:t>(Expressed in United States Dollars)</w:t>
            </w:r>
          </w:p>
        </w:tc>
        <w:tc>
          <w:tcPr>
            <w:tcW w:w="2016" w:type="dxa"/>
          </w:tcPr>
          <w:p w14:paraId="7FD30F29" w14:textId="75AC167F" w:rsidR="00D52D46" w:rsidRPr="009A6C20" w:rsidRDefault="00D52D46" w:rsidP="007C5556">
            <w:pPr>
              <w:jc w:val="center"/>
              <w:rPr>
                <w:rFonts w:cs="Arial"/>
                <w:b/>
                <w:szCs w:val="22"/>
              </w:rPr>
            </w:pPr>
            <w:r w:rsidRPr="009A6C20">
              <w:rPr>
                <w:rFonts w:cs="Arial"/>
                <w:b/>
                <w:szCs w:val="22"/>
              </w:rPr>
              <w:t>Year Ended 31 December 201</w:t>
            </w:r>
            <w:r>
              <w:rPr>
                <w:rFonts w:cs="Arial"/>
                <w:b/>
                <w:szCs w:val="22"/>
              </w:rPr>
              <w:t>5</w:t>
            </w:r>
          </w:p>
        </w:tc>
        <w:tc>
          <w:tcPr>
            <w:tcW w:w="2016" w:type="dxa"/>
          </w:tcPr>
          <w:p w14:paraId="67674927" w14:textId="4D70EA23" w:rsidR="00D52D46" w:rsidRPr="009A6C20" w:rsidRDefault="00D52D46" w:rsidP="007C5556">
            <w:pPr>
              <w:jc w:val="center"/>
              <w:rPr>
                <w:rFonts w:cs="Arial"/>
                <w:b/>
                <w:szCs w:val="22"/>
              </w:rPr>
            </w:pPr>
            <w:r w:rsidRPr="009A6C20">
              <w:rPr>
                <w:rFonts w:cs="Arial"/>
                <w:b/>
                <w:szCs w:val="22"/>
              </w:rPr>
              <w:t>Year Ended 31 December 2014</w:t>
            </w:r>
          </w:p>
        </w:tc>
      </w:tr>
      <w:tr w:rsidR="00D52D46" w:rsidRPr="009A6C20" w14:paraId="7B1E3EFF" w14:textId="77777777" w:rsidTr="00D52D46">
        <w:tc>
          <w:tcPr>
            <w:tcW w:w="4964" w:type="dxa"/>
          </w:tcPr>
          <w:p w14:paraId="36E679BF" w14:textId="77777777" w:rsidR="00D52D46" w:rsidRPr="009A6C20" w:rsidRDefault="00D52D46" w:rsidP="001A1CCD">
            <w:pPr>
              <w:rPr>
                <w:rFonts w:cs="Arial"/>
                <w:szCs w:val="22"/>
              </w:rPr>
            </w:pPr>
          </w:p>
        </w:tc>
        <w:tc>
          <w:tcPr>
            <w:tcW w:w="2016" w:type="dxa"/>
          </w:tcPr>
          <w:p w14:paraId="29525D23" w14:textId="19539D0A" w:rsidR="00D52D46" w:rsidRPr="009A6C20" w:rsidRDefault="00D52D46" w:rsidP="008B5648">
            <w:pPr>
              <w:jc w:val="center"/>
              <w:rPr>
                <w:rFonts w:cs="Arial"/>
                <w:b/>
                <w:szCs w:val="22"/>
              </w:rPr>
            </w:pPr>
            <w:r w:rsidRPr="009A6C20">
              <w:rPr>
                <w:rFonts w:cs="Arial"/>
                <w:b/>
                <w:szCs w:val="22"/>
              </w:rPr>
              <w:t>$</w:t>
            </w:r>
          </w:p>
        </w:tc>
        <w:tc>
          <w:tcPr>
            <w:tcW w:w="2016" w:type="dxa"/>
          </w:tcPr>
          <w:p w14:paraId="42D96FD6" w14:textId="5EF99EEA" w:rsidR="00D52D46" w:rsidRPr="009A6C20" w:rsidRDefault="00D52D46" w:rsidP="008B5648">
            <w:pPr>
              <w:jc w:val="center"/>
              <w:rPr>
                <w:rFonts w:cs="Arial"/>
                <w:b/>
                <w:szCs w:val="22"/>
              </w:rPr>
            </w:pPr>
            <w:r w:rsidRPr="009A6C20">
              <w:rPr>
                <w:rFonts w:cs="Arial"/>
                <w:b/>
                <w:szCs w:val="22"/>
              </w:rPr>
              <w:t>$</w:t>
            </w:r>
          </w:p>
        </w:tc>
      </w:tr>
      <w:tr w:rsidR="00D52D46" w:rsidRPr="009A6C20" w14:paraId="533130AF" w14:textId="77777777" w:rsidTr="00D52D46">
        <w:tc>
          <w:tcPr>
            <w:tcW w:w="4964" w:type="dxa"/>
          </w:tcPr>
          <w:p w14:paraId="5263A409" w14:textId="77777777" w:rsidR="00D52D46" w:rsidRPr="009A6C20" w:rsidRDefault="00D52D46" w:rsidP="001A1CCD">
            <w:pPr>
              <w:rPr>
                <w:rFonts w:cs="Arial"/>
                <w:szCs w:val="22"/>
              </w:rPr>
            </w:pPr>
            <w:r w:rsidRPr="009A6C20">
              <w:rPr>
                <w:rFonts w:cs="Arial"/>
                <w:b/>
                <w:szCs w:val="22"/>
              </w:rPr>
              <w:t>Operations</w:t>
            </w:r>
          </w:p>
        </w:tc>
        <w:tc>
          <w:tcPr>
            <w:tcW w:w="2016" w:type="dxa"/>
          </w:tcPr>
          <w:p w14:paraId="41291252" w14:textId="77777777" w:rsidR="00D52D46" w:rsidRPr="009A6C20" w:rsidRDefault="00D52D46" w:rsidP="001A1CCD">
            <w:pPr>
              <w:jc w:val="right"/>
              <w:rPr>
                <w:rFonts w:cs="Arial"/>
                <w:szCs w:val="22"/>
              </w:rPr>
            </w:pPr>
          </w:p>
        </w:tc>
        <w:tc>
          <w:tcPr>
            <w:tcW w:w="2016" w:type="dxa"/>
          </w:tcPr>
          <w:p w14:paraId="5398E095" w14:textId="57CBD14B" w:rsidR="00D52D46" w:rsidRPr="009A6C20" w:rsidRDefault="00D52D46" w:rsidP="001A1CCD">
            <w:pPr>
              <w:jc w:val="right"/>
              <w:rPr>
                <w:rFonts w:cs="Arial"/>
                <w:szCs w:val="22"/>
              </w:rPr>
            </w:pPr>
          </w:p>
        </w:tc>
      </w:tr>
      <w:tr w:rsidR="00D52D46" w:rsidRPr="009A6C20" w14:paraId="30A06E7F" w14:textId="77777777" w:rsidTr="00D52D46">
        <w:tc>
          <w:tcPr>
            <w:tcW w:w="4964" w:type="dxa"/>
          </w:tcPr>
          <w:p w14:paraId="21258417" w14:textId="77777777" w:rsidR="00D52D46" w:rsidRPr="009A6C20" w:rsidRDefault="00D52D46" w:rsidP="001A1CCD">
            <w:pPr>
              <w:rPr>
                <w:rFonts w:cs="Arial"/>
                <w:szCs w:val="22"/>
              </w:rPr>
            </w:pPr>
            <w:r w:rsidRPr="009A6C20">
              <w:rPr>
                <w:rFonts w:cs="Arial"/>
                <w:szCs w:val="22"/>
              </w:rPr>
              <w:t>Net investment loss</w:t>
            </w:r>
          </w:p>
        </w:tc>
        <w:tc>
          <w:tcPr>
            <w:tcW w:w="2016" w:type="dxa"/>
          </w:tcPr>
          <w:p w14:paraId="19B99760" w14:textId="0DDE30AC" w:rsidR="00D52D46" w:rsidRPr="009A6C20" w:rsidRDefault="00D52D46" w:rsidP="0063718C">
            <w:pPr>
              <w:jc w:val="right"/>
              <w:rPr>
                <w:rFonts w:cs="Arial"/>
                <w:szCs w:val="22"/>
              </w:rPr>
            </w:pPr>
            <w:r>
              <w:rPr>
                <w:rFonts w:cs="Arial"/>
                <w:szCs w:val="22"/>
              </w:rPr>
              <w:t>(12,332,267</w:t>
            </w:r>
            <w:r w:rsidRPr="009A6C20">
              <w:rPr>
                <w:rFonts w:cs="Arial"/>
                <w:szCs w:val="22"/>
              </w:rPr>
              <w:t xml:space="preserve">) </w:t>
            </w:r>
          </w:p>
        </w:tc>
        <w:tc>
          <w:tcPr>
            <w:tcW w:w="2016" w:type="dxa"/>
          </w:tcPr>
          <w:p w14:paraId="37492A04" w14:textId="5FB0B917" w:rsidR="00D52D46" w:rsidRPr="009A6C20" w:rsidRDefault="00D52D46" w:rsidP="0063718C">
            <w:pPr>
              <w:jc w:val="right"/>
              <w:rPr>
                <w:rFonts w:cs="Arial"/>
                <w:sz w:val="22"/>
                <w:szCs w:val="22"/>
              </w:rPr>
            </w:pPr>
            <w:r w:rsidRPr="009A6C20">
              <w:rPr>
                <w:rFonts w:cs="Arial"/>
                <w:szCs w:val="22"/>
              </w:rPr>
              <w:t xml:space="preserve">(12,264,777) </w:t>
            </w:r>
          </w:p>
        </w:tc>
      </w:tr>
      <w:tr w:rsidR="00D52D46" w:rsidRPr="009A6C20" w14:paraId="781EBF68" w14:textId="77777777" w:rsidTr="00D52D46">
        <w:tc>
          <w:tcPr>
            <w:tcW w:w="4964" w:type="dxa"/>
          </w:tcPr>
          <w:p w14:paraId="15BBD090" w14:textId="77777777" w:rsidR="00D52D46" w:rsidRPr="009A6C20" w:rsidRDefault="00D52D46" w:rsidP="001A1CCD">
            <w:pPr>
              <w:rPr>
                <w:rFonts w:cs="Arial"/>
                <w:szCs w:val="22"/>
              </w:rPr>
            </w:pPr>
            <w:r w:rsidRPr="009A6C20">
              <w:rPr>
                <w:rFonts w:cs="Arial"/>
                <w:szCs w:val="22"/>
              </w:rPr>
              <w:t>Net realised gain on securities</w:t>
            </w:r>
            <w:r w:rsidRPr="009A6C20">
              <w:rPr>
                <w:rFonts w:cs="Arial"/>
                <w:szCs w:val="22"/>
              </w:rPr>
              <w:tab/>
            </w:r>
          </w:p>
        </w:tc>
        <w:tc>
          <w:tcPr>
            <w:tcW w:w="2016" w:type="dxa"/>
            <w:vAlign w:val="center"/>
          </w:tcPr>
          <w:p w14:paraId="5C9556C4" w14:textId="6A057F8C" w:rsidR="00D52D46" w:rsidRPr="009A6C20" w:rsidRDefault="00D52D46" w:rsidP="001A1CCD">
            <w:pPr>
              <w:jc w:val="right"/>
              <w:rPr>
                <w:rFonts w:cs="Arial"/>
                <w:szCs w:val="22"/>
              </w:rPr>
            </w:pPr>
            <w:r>
              <w:rPr>
                <w:rFonts w:cs="Arial"/>
                <w:szCs w:val="22"/>
              </w:rPr>
              <w:t>51,154,113</w:t>
            </w:r>
          </w:p>
        </w:tc>
        <w:tc>
          <w:tcPr>
            <w:tcW w:w="2016" w:type="dxa"/>
            <w:vAlign w:val="center"/>
          </w:tcPr>
          <w:p w14:paraId="613CD04B" w14:textId="7FF1068D" w:rsidR="00D52D46" w:rsidRPr="009A6C20" w:rsidRDefault="00D52D46" w:rsidP="001A1CCD">
            <w:pPr>
              <w:jc w:val="right"/>
              <w:rPr>
                <w:rFonts w:cs="Arial"/>
                <w:szCs w:val="22"/>
              </w:rPr>
            </w:pPr>
            <w:r w:rsidRPr="009A6C20">
              <w:rPr>
                <w:rFonts w:cs="Arial"/>
                <w:szCs w:val="22"/>
              </w:rPr>
              <w:t>78,813,489</w:t>
            </w:r>
          </w:p>
        </w:tc>
      </w:tr>
      <w:tr w:rsidR="00D52D46" w:rsidRPr="009A6C20" w14:paraId="0B81E5A0" w14:textId="77777777" w:rsidTr="00D52D46">
        <w:tc>
          <w:tcPr>
            <w:tcW w:w="4964" w:type="dxa"/>
          </w:tcPr>
          <w:p w14:paraId="4EA1EE58" w14:textId="77777777" w:rsidR="00D52D46" w:rsidRPr="009A6C20" w:rsidRDefault="00D52D46" w:rsidP="0063718C">
            <w:pPr>
              <w:rPr>
                <w:rFonts w:cs="Arial"/>
                <w:szCs w:val="22"/>
              </w:rPr>
            </w:pPr>
            <w:r w:rsidRPr="009A6C20">
              <w:rPr>
                <w:rFonts w:cs="Arial"/>
                <w:szCs w:val="22"/>
              </w:rPr>
              <w:t>Net (decrease) / increase in unrealised appreciation on securities</w:t>
            </w:r>
          </w:p>
        </w:tc>
        <w:tc>
          <w:tcPr>
            <w:tcW w:w="2016" w:type="dxa"/>
            <w:vAlign w:val="center"/>
          </w:tcPr>
          <w:p w14:paraId="5CFDCB9C" w14:textId="0D251B5D" w:rsidR="00D52D46" w:rsidRPr="009A6C20" w:rsidRDefault="00D52D46" w:rsidP="001A1CCD">
            <w:pPr>
              <w:jc w:val="right"/>
              <w:rPr>
                <w:rFonts w:cs="Arial"/>
                <w:szCs w:val="22"/>
              </w:rPr>
            </w:pPr>
            <w:r>
              <w:rPr>
                <w:rFonts w:cs="Arial"/>
                <w:szCs w:val="22"/>
              </w:rPr>
              <w:t>(2,445,883)</w:t>
            </w:r>
          </w:p>
        </w:tc>
        <w:tc>
          <w:tcPr>
            <w:tcW w:w="2016" w:type="dxa"/>
            <w:vAlign w:val="center"/>
          </w:tcPr>
          <w:p w14:paraId="35417FA9" w14:textId="682E8DAB" w:rsidR="00D52D46" w:rsidRPr="009A6C20" w:rsidRDefault="00D52D46" w:rsidP="001A1CCD">
            <w:pPr>
              <w:jc w:val="right"/>
              <w:rPr>
                <w:rFonts w:cs="Arial"/>
                <w:szCs w:val="22"/>
              </w:rPr>
            </w:pPr>
            <w:r w:rsidRPr="009A6C20">
              <w:rPr>
                <w:rFonts w:cs="Arial"/>
                <w:szCs w:val="22"/>
              </w:rPr>
              <w:t>(18,697,603)</w:t>
            </w:r>
          </w:p>
        </w:tc>
      </w:tr>
      <w:tr w:rsidR="00D52D46" w:rsidRPr="009A6C20" w14:paraId="7B723326" w14:textId="77777777" w:rsidTr="00D52D46">
        <w:tc>
          <w:tcPr>
            <w:tcW w:w="4964" w:type="dxa"/>
          </w:tcPr>
          <w:p w14:paraId="1152D23E" w14:textId="77777777" w:rsidR="00D52D46" w:rsidRPr="009A6C20" w:rsidRDefault="00D52D46" w:rsidP="001A1CCD">
            <w:pPr>
              <w:rPr>
                <w:rFonts w:cs="Arial"/>
                <w:szCs w:val="22"/>
              </w:rPr>
            </w:pPr>
          </w:p>
        </w:tc>
        <w:tc>
          <w:tcPr>
            <w:tcW w:w="2016" w:type="dxa"/>
          </w:tcPr>
          <w:p w14:paraId="322DC40D" w14:textId="77777777" w:rsidR="00D52D46" w:rsidRPr="009A6C20" w:rsidRDefault="00D52D46" w:rsidP="001A1CCD">
            <w:pPr>
              <w:jc w:val="right"/>
              <w:rPr>
                <w:rFonts w:cs="Arial"/>
                <w:szCs w:val="22"/>
              </w:rPr>
            </w:pPr>
          </w:p>
        </w:tc>
        <w:tc>
          <w:tcPr>
            <w:tcW w:w="2016" w:type="dxa"/>
          </w:tcPr>
          <w:p w14:paraId="315840F5" w14:textId="0F790E7E" w:rsidR="00D52D46" w:rsidRPr="009A6C20" w:rsidRDefault="00D52D46" w:rsidP="001A1CCD">
            <w:pPr>
              <w:jc w:val="right"/>
              <w:rPr>
                <w:rFonts w:cs="Arial"/>
                <w:szCs w:val="22"/>
              </w:rPr>
            </w:pPr>
          </w:p>
        </w:tc>
      </w:tr>
      <w:tr w:rsidR="00D52D46" w:rsidRPr="009A6C20" w14:paraId="4AE055A8" w14:textId="77777777" w:rsidTr="00D52D46">
        <w:tc>
          <w:tcPr>
            <w:tcW w:w="4964" w:type="dxa"/>
          </w:tcPr>
          <w:p w14:paraId="6721308A" w14:textId="20D07AA2" w:rsidR="00D52D46" w:rsidRPr="009A6C20" w:rsidRDefault="00D52D46" w:rsidP="001A1CCD">
            <w:pPr>
              <w:rPr>
                <w:rFonts w:cs="Arial"/>
                <w:szCs w:val="22"/>
              </w:rPr>
            </w:pPr>
            <w:r w:rsidRPr="009A6C20">
              <w:rPr>
                <w:rFonts w:cs="Arial"/>
                <w:szCs w:val="22"/>
              </w:rPr>
              <w:t>Net increase in net a</w:t>
            </w:r>
            <w:r>
              <w:rPr>
                <w:rFonts w:cs="Arial"/>
                <w:szCs w:val="22"/>
              </w:rPr>
              <w:t>ssets resulting from operations</w:t>
            </w:r>
          </w:p>
        </w:tc>
        <w:tc>
          <w:tcPr>
            <w:tcW w:w="2016" w:type="dxa"/>
          </w:tcPr>
          <w:p w14:paraId="0CE92BF0" w14:textId="42E7D2F2" w:rsidR="00D52D46" w:rsidRPr="009A6C20" w:rsidRDefault="00D52D46" w:rsidP="001A1CCD">
            <w:pPr>
              <w:jc w:val="right"/>
              <w:rPr>
                <w:rFonts w:cs="Arial"/>
                <w:szCs w:val="22"/>
              </w:rPr>
            </w:pPr>
            <w:r>
              <w:rPr>
                <w:rFonts w:cs="Arial"/>
                <w:szCs w:val="22"/>
              </w:rPr>
              <w:t>36,375,963</w:t>
            </w:r>
          </w:p>
        </w:tc>
        <w:tc>
          <w:tcPr>
            <w:tcW w:w="2016" w:type="dxa"/>
          </w:tcPr>
          <w:p w14:paraId="7F500229" w14:textId="20C6FD1E" w:rsidR="00D52D46" w:rsidRPr="009A6C20" w:rsidRDefault="00D52D46" w:rsidP="001A1CCD">
            <w:pPr>
              <w:jc w:val="right"/>
              <w:rPr>
                <w:rFonts w:cs="Arial"/>
                <w:szCs w:val="22"/>
              </w:rPr>
            </w:pPr>
            <w:r w:rsidRPr="009A6C20">
              <w:rPr>
                <w:rFonts w:cs="Arial"/>
                <w:szCs w:val="22"/>
              </w:rPr>
              <w:t>47,851,109</w:t>
            </w:r>
          </w:p>
        </w:tc>
      </w:tr>
      <w:tr w:rsidR="00D52D46" w:rsidRPr="009A6C20" w14:paraId="44C1534E" w14:textId="77777777" w:rsidTr="00D52D46">
        <w:tc>
          <w:tcPr>
            <w:tcW w:w="4964" w:type="dxa"/>
          </w:tcPr>
          <w:p w14:paraId="1B42F6C9" w14:textId="77777777" w:rsidR="00D52D46" w:rsidRPr="009A6C20" w:rsidRDefault="00D52D46" w:rsidP="001A1CCD">
            <w:pPr>
              <w:rPr>
                <w:rFonts w:cs="Arial"/>
                <w:szCs w:val="22"/>
              </w:rPr>
            </w:pPr>
          </w:p>
        </w:tc>
        <w:tc>
          <w:tcPr>
            <w:tcW w:w="2016" w:type="dxa"/>
          </w:tcPr>
          <w:p w14:paraId="117A5517" w14:textId="77777777" w:rsidR="00D52D46" w:rsidRPr="009A6C20" w:rsidRDefault="00D52D46" w:rsidP="001A1CCD">
            <w:pPr>
              <w:jc w:val="right"/>
              <w:rPr>
                <w:rFonts w:cs="Arial"/>
                <w:szCs w:val="22"/>
              </w:rPr>
            </w:pPr>
          </w:p>
        </w:tc>
        <w:tc>
          <w:tcPr>
            <w:tcW w:w="2016" w:type="dxa"/>
          </w:tcPr>
          <w:p w14:paraId="73022DF2" w14:textId="684746F7" w:rsidR="00D52D46" w:rsidRPr="009A6C20" w:rsidRDefault="00D52D46" w:rsidP="001A1CCD">
            <w:pPr>
              <w:jc w:val="right"/>
              <w:rPr>
                <w:rFonts w:cs="Arial"/>
                <w:szCs w:val="22"/>
              </w:rPr>
            </w:pPr>
          </w:p>
        </w:tc>
      </w:tr>
      <w:tr w:rsidR="00D52D46" w:rsidRPr="009A6C20" w14:paraId="3BAA6F66" w14:textId="77777777" w:rsidTr="00D52D46">
        <w:tc>
          <w:tcPr>
            <w:tcW w:w="4964" w:type="dxa"/>
          </w:tcPr>
          <w:p w14:paraId="47A5BF30" w14:textId="77777777" w:rsidR="00D52D46" w:rsidRPr="009A6C20" w:rsidRDefault="00D52D46" w:rsidP="001A1CCD">
            <w:pPr>
              <w:rPr>
                <w:rFonts w:cs="Arial"/>
                <w:szCs w:val="22"/>
              </w:rPr>
            </w:pPr>
          </w:p>
        </w:tc>
        <w:tc>
          <w:tcPr>
            <w:tcW w:w="2016" w:type="dxa"/>
          </w:tcPr>
          <w:p w14:paraId="4981349F" w14:textId="77777777" w:rsidR="00D52D46" w:rsidRPr="009A6C20" w:rsidRDefault="00D52D46" w:rsidP="001A1CCD">
            <w:pPr>
              <w:jc w:val="right"/>
              <w:rPr>
                <w:rFonts w:cs="Arial"/>
                <w:szCs w:val="22"/>
              </w:rPr>
            </w:pPr>
          </w:p>
        </w:tc>
        <w:tc>
          <w:tcPr>
            <w:tcW w:w="2016" w:type="dxa"/>
          </w:tcPr>
          <w:p w14:paraId="3CA464D6" w14:textId="1D1F014A" w:rsidR="00D52D46" w:rsidRPr="009A6C20" w:rsidRDefault="00D52D46" w:rsidP="001A1CCD">
            <w:pPr>
              <w:jc w:val="right"/>
              <w:rPr>
                <w:rFonts w:cs="Arial"/>
                <w:szCs w:val="22"/>
              </w:rPr>
            </w:pPr>
          </w:p>
        </w:tc>
      </w:tr>
      <w:tr w:rsidR="00D52D46" w:rsidRPr="009A6C20" w14:paraId="7C27E9B7" w14:textId="77777777" w:rsidTr="00D52D46">
        <w:tc>
          <w:tcPr>
            <w:tcW w:w="4964" w:type="dxa"/>
          </w:tcPr>
          <w:p w14:paraId="14806171" w14:textId="77777777" w:rsidR="00D52D46" w:rsidRPr="009A6C20" w:rsidRDefault="00D52D46" w:rsidP="001A1CCD">
            <w:pPr>
              <w:rPr>
                <w:rFonts w:cs="Arial"/>
                <w:szCs w:val="22"/>
              </w:rPr>
            </w:pPr>
            <w:r w:rsidRPr="009A6C20">
              <w:rPr>
                <w:rFonts w:cs="Arial"/>
                <w:b/>
                <w:szCs w:val="22"/>
              </w:rPr>
              <w:t>Capital share transactions</w:t>
            </w:r>
          </w:p>
        </w:tc>
        <w:tc>
          <w:tcPr>
            <w:tcW w:w="2016" w:type="dxa"/>
          </w:tcPr>
          <w:p w14:paraId="4E9E96C1" w14:textId="77777777" w:rsidR="00D52D46" w:rsidRPr="009A6C20" w:rsidRDefault="00D52D46" w:rsidP="001A1CCD">
            <w:pPr>
              <w:jc w:val="right"/>
              <w:rPr>
                <w:rFonts w:cs="Arial"/>
                <w:szCs w:val="22"/>
              </w:rPr>
            </w:pPr>
          </w:p>
        </w:tc>
        <w:tc>
          <w:tcPr>
            <w:tcW w:w="2016" w:type="dxa"/>
          </w:tcPr>
          <w:p w14:paraId="1C26E72C" w14:textId="7CCC8F33" w:rsidR="00D52D46" w:rsidRPr="009A6C20" w:rsidRDefault="00D52D46" w:rsidP="001A1CCD">
            <w:pPr>
              <w:jc w:val="right"/>
              <w:rPr>
                <w:rFonts w:cs="Arial"/>
                <w:szCs w:val="22"/>
              </w:rPr>
            </w:pPr>
          </w:p>
        </w:tc>
      </w:tr>
      <w:tr w:rsidR="00D52D46" w:rsidRPr="009A6C20" w14:paraId="1D30EFF8" w14:textId="77777777" w:rsidTr="00D52D46">
        <w:tc>
          <w:tcPr>
            <w:tcW w:w="4964" w:type="dxa"/>
          </w:tcPr>
          <w:p w14:paraId="223E05EC" w14:textId="423F8663" w:rsidR="00D52D46" w:rsidRPr="00D52D46" w:rsidRDefault="00D52D46" w:rsidP="001A1CCD">
            <w:pPr>
              <w:rPr>
                <w:rFonts w:cs="Arial"/>
                <w:szCs w:val="22"/>
              </w:rPr>
            </w:pPr>
            <w:r>
              <w:rPr>
                <w:rFonts w:cs="Arial"/>
                <w:szCs w:val="22"/>
              </w:rPr>
              <w:t>Issuance of Class C Shares</w:t>
            </w:r>
          </w:p>
        </w:tc>
        <w:tc>
          <w:tcPr>
            <w:tcW w:w="2016" w:type="dxa"/>
          </w:tcPr>
          <w:p w14:paraId="68561CDC" w14:textId="1A134FDF" w:rsidR="00D52D46" w:rsidRPr="009A6C20" w:rsidRDefault="00D52D46" w:rsidP="004F53FA">
            <w:pPr>
              <w:jc w:val="right"/>
              <w:rPr>
                <w:rFonts w:cs="Arial"/>
                <w:szCs w:val="22"/>
              </w:rPr>
            </w:pPr>
            <w:r>
              <w:rPr>
                <w:rFonts w:cs="Arial"/>
                <w:szCs w:val="22"/>
              </w:rPr>
              <w:t>91,838,761</w:t>
            </w:r>
          </w:p>
        </w:tc>
        <w:tc>
          <w:tcPr>
            <w:tcW w:w="2016" w:type="dxa"/>
          </w:tcPr>
          <w:p w14:paraId="4075ECB3" w14:textId="09DF368E" w:rsidR="00D52D46" w:rsidRPr="009A6C20" w:rsidRDefault="00875170" w:rsidP="004F53FA">
            <w:pPr>
              <w:jc w:val="right"/>
              <w:rPr>
                <w:rFonts w:cs="Arial"/>
                <w:szCs w:val="22"/>
              </w:rPr>
            </w:pPr>
            <w:r>
              <w:rPr>
                <w:rFonts w:cs="Arial"/>
                <w:szCs w:val="22"/>
              </w:rPr>
              <w:t>-</w:t>
            </w:r>
          </w:p>
        </w:tc>
      </w:tr>
      <w:tr w:rsidR="00D52D46" w:rsidRPr="009A6C20" w14:paraId="7131AB70" w14:textId="77777777" w:rsidTr="00D52D46">
        <w:tc>
          <w:tcPr>
            <w:tcW w:w="4964" w:type="dxa"/>
          </w:tcPr>
          <w:p w14:paraId="4C056D55" w14:textId="7A7926DB" w:rsidR="00D52D46" w:rsidRPr="009A6C20" w:rsidRDefault="00D52D46" w:rsidP="001A1CCD">
            <w:pPr>
              <w:rPr>
                <w:rFonts w:cs="Arial"/>
                <w:szCs w:val="22"/>
              </w:rPr>
            </w:pPr>
            <w:r w:rsidRPr="009A6C20">
              <w:rPr>
                <w:rFonts w:cs="Arial"/>
                <w:szCs w:val="22"/>
              </w:rPr>
              <w:t>Dividend declared</w:t>
            </w:r>
            <w:r w:rsidRPr="009A6C20">
              <w:rPr>
                <w:rFonts w:cs="Arial"/>
                <w:b/>
                <w:szCs w:val="22"/>
              </w:rPr>
              <w:t xml:space="preserve"> </w:t>
            </w:r>
          </w:p>
        </w:tc>
        <w:tc>
          <w:tcPr>
            <w:tcW w:w="2016" w:type="dxa"/>
          </w:tcPr>
          <w:p w14:paraId="07403890" w14:textId="7ED359F3" w:rsidR="00D52D46" w:rsidRPr="009A6C20" w:rsidRDefault="00D52D46" w:rsidP="00D52D46">
            <w:pPr>
              <w:jc w:val="right"/>
              <w:rPr>
                <w:rFonts w:cs="Arial"/>
                <w:szCs w:val="22"/>
              </w:rPr>
            </w:pPr>
            <w:r w:rsidRPr="009A6C20">
              <w:rPr>
                <w:rFonts w:cs="Arial"/>
                <w:szCs w:val="22"/>
              </w:rPr>
              <w:t>(</w:t>
            </w:r>
            <w:r>
              <w:rPr>
                <w:rFonts w:cs="Arial"/>
                <w:szCs w:val="22"/>
              </w:rPr>
              <w:t>17,999,434</w:t>
            </w:r>
            <w:r w:rsidRPr="009A6C20">
              <w:rPr>
                <w:rFonts w:cs="Arial"/>
                <w:szCs w:val="22"/>
              </w:rPr>
              <w:t>)</w:t>
            </w:r>
          </w:p>
        </w:tc>
        <w:tc>
          <w:tcPr>
            <w:tcW w:w="2016" w:type="dxa"/>
          </w:tcPr>
          <w:p w14:paraId="45C6A841" w14:textId="39E2861B" w:rsidR="00D52D46" w:rsidRPr="009A6C20" w:rsidRDefault="00D52D46" w:rsidP="004F53FA">
            <w:pPr>
              <w:jc w:val="right"/>
              <w:rPr>
                <w:rFonts w:cs="Arial"/>
                <w:szCs w:val="22"/>
              </w:rPr>
            </w:pPr>
            <w:r w:rsidRPr="009A6C20">
              <w:rPr>
                <w:rFonts w:cs="Arial"/>
                <w:szCs w:val="22"/>
              </w:rPr>
              <w:t>(23,748,656)</w:t>
            </w:r>
          </w:p>
        </w:tc>
      </w:tr>
      <w:tr w:rsidR="00D52D46" w:rsidRPr="009A6C20" w14:paraId="1C8BF504" w14:textId="77777777" w:rsidTr="00D52D46">
        <w:tc>
          <w:tcPr>
            <w:tcW w:w="4964" w:type="dxa"/>
          </w:tcPr>
          <w:p w14:paraId="7972B30A" w14:textId="77777777" w:rsidR="00D52D46" w:rsidRPr="009A6C20" w:rsidRDefault="00D52D46" w:rsidP="001A1CCD">
            <w:pPr>
              <w:rPr>
                <w:rFonts w:cs="Arial"/>
                <w:szCs w:val="22"/>
              </w:rPr>
            </w:pPr>
            <w:r w:rsidRPr="009A6C20">
              <w:rPr>
                <w:rFonts w:cs="Arial"/>
                <w:szCs w:val="22"/>
              </w:rPr>
              <w:t>Return of value distribution</w:t>
            </w:r>
          </w:p>
        </w:tc>
        <w:tc>
          <w:tcPr>
            <w:tcW w:w="2016" w:type="dxa"/>
          </w:tcPr>
          <w:p w14:paraId="2C281BFA" w14:textId="54C82B30" w:rsidR="00D52D46" w:rsidRPr="009A6C20" w:rsidRDefault="00D52D46" w:rsidP="001A1CCD">
            <w:pPr>
              <w:jc w:val="right"/>
              <w:rPr>
                <w:rFonts w:cs="Arial"/>
                <w:szCs w:val="22"/>
              </w:rPr>
            </w:pPr>
            <w:r>
              <w:rPr>
                <w:rFonts w:cs="Arial"/>
                <w:szCs w:val="22"/>
              </w:rPr>
              <w:t>(34,997,045)</w:t>
            </w:r>
          </w:p>
        </w:tc>
        <w:tc>
          <w:tcPr>
            <w:tcW w:w="2016" w:type="dxa"/>
          </w:tcPr>
          <w:p w14:paraId="404B7E72" w14:textId="4A9E0B66" w:rsidR="00D52D46" w:rsidRPr="009A6C20" w:rsidRDefault="00D52D46" w:rsidP="001A1CCD">
            <w:pPr>
              <w:jc w:val="right"/>
              <w:rPr>
                <w:rFonts w:cs="Arial"/>
                <w:szCs w:val="22"/>
              </w:rPr>
            </w:pPr>
            <w:r w:rsidRPr="009A6C20">
              <w:rPr>
                <w:rFonts w:cs="Arial"/>
                <w:szCs w:val="22"/>
              </w:rPr>
              <w:t>(63,536,808)</w:t>
            </w:r>
          </w:p>
        </w:tc>
      </w:tr>
      <w:tr w:rsidR="00D52D46" w:rsidRPr="009A6C20" w14:paraId="360DC9D6" w14:textId="77777777" w:rsidTr="00D52D46">
        <w:tc>
          <w:tcPr>
            <w:tcW w:w="4964" w:type="dxa"/>
          </w:tcPr>
          <w:p w14:paraId="5584B6DB" w14:textId="4A04D502" w:rsidR="00D52D46" w:rsidRPr="009A6C20" w:rsidRDefault="00D52D46" w:rsidP="001A1CCD">
            <w:pPr>
              <w:rPr>
                <w:rFonts w:cs="Arial"/>
                <w:szCs w:val="22"/>
              </w:rPr>
            </w:pPr>
            <w:r>
              <w:rPr>
                <w:rFonts w:cs="Arial"/>
                <w:szCs w:val="22"/>
              </w:rPr>
              <w:t>Offering costs</w:t>
            </w:r>
          </w:p>
        </w:tc>
        <w:tc>
          <w:tcPr>
            <w:tcW w:w="2016" w:type="dxa"/>
          </w:tcPr>
          <w:p w14:paraId="5F67E4E5" w14:textId="366C8565" w:rsidR="00D52D46" w:rsidRPr="009A6C20" w:rsidRDefault="00D52D46" w:rsidP="001A1CCD">
            <w:pPr>
              <w:jc w:val="right"/>
              <w:rPr>
                <w:rFonts w:cs="Arial"/>
                <w:szCs w:val="22"/>
              </w:rPr>
            </w:pPr>
            <w:r>
              <w:rPr>
                <w:rFonts w:cs="Arial"/>
                <w:szCs w:val="22"/>
              </w:rPr>
              <w:t>(1,840,444)</w:t>
            </w:r>
          </w:p>
        </w:tc>
        <w:tc>
          <w:tcPr>
            <w:tcW w:w="2016" w:type="dxa"/>
          </w:tcPr>
          <w:p w14:paraId="2FC51044" w14:textId="7C463B18" w:rsidR="00D52D46" w:rsidRPr="009A6C20" w:rsidRDefault="00D52D46" w:rsidP="001A1CCD">
            <w:pPr>
              <w:jc w:val="right"/>
              <w:rPr>
                <w:rFonts w:cs="Arial"/>
                <w:szCs w:val="22"/>
              </w:rPr>
            </w:pPr>
            <w:r>
              <w:rPr>
                <w:rFonts w:cs="Arial"/>
                <w:szCs w:val="22"/>
              </w:rPr>
              <w:t>-</w:t>
            </w:r>
          </w:p>
        </w:tc>
      </w:tr>
      <w:tr w:rsidR="00D52D46" w:rsidRPr="009A6C20" w14:paraId="554144D3" w14:textId="77777777" w:rsidTr="00D52D46">
        <w:tc>
          <w:tcPr>
            <w:tcW w:w="4964" w:type="dxa"/>
          </w:tcPr>
          <w:p w14:paraId="404360F6" w14:textId="77777777" w:rsidR="00D52D46" w:rsidRPr="009A6C20" w:rsidRDefault="00D52D46" w:rsidP="001A1CCD">
            <w:pPr>
              <w:rPr>
                <w:rFonts w:cs="Arial"/>
                <w:szCs w:val="22"/>
              </w:rPr>
            </w:pPr>
            <w:r w:rsidRPr="009A6C20">
              <w:rPr>
                <w:rFonts w:cs="Arial"/>
                <w:szCs w:val="22"/>
              </w:rPr>
              <w:t>Share buyback</w:t>
            </w:r>
          </w:p>
        </w:tc>
        <w:tc>
          <w:tcPr>
            <w:tcW w:w="2016" w:type="dxa"/>
          </w:tcPr>
          <w:p w14:paraId="5D7D8D50" w14:textId="2D560BE5" w:rsidR="00D52D46" w:rsidRPr="009A6C20" w:rsidRDefault="00D52D46" w:rsidP="001A1CCD">
            <w:pPr>
              <w:jc w:val="right"/>
              <w:rPr>
                <w:rFonts w:cs="Arial"/>
                <w:szCs w:val="22"/>
              </w:rPr>
            </w:pPr>
            <w:r>
              <w:rPr>
                <w:rFonts w:cs="Arial"/>
                <w:szCs w:val="22"/>
              </w:rPr>
              <w:t>-</w:t>
            </w:r>
          </w:p>
        </w:tc>
        <w:tc>
          <w:tcPr>
            <w:tcW w:w="2016" w:type="dxa"/>
          </w:tcPr>
          <w:p w14:paraId="73EB9448" w14:textId="19C60A15" w:rsidR="00D52D46" w:rsidRPr="009A6C20" w:rsidRDefault="00D52D46" w:rsidP="001A1CCD">
            <w:pPr>
              <w:jc w:val="right"/>
              <w:rPr>
                <w:rFonts w:cs="Arial"/>
                <w:szCs w:val="22"/>
              </w:rPr>
            </w:pPr>
            <w:r w:rsidRPr="009A6C20">
              <w:rPr>
                <w:rFonts w:cs="Arial"/>
                <w:szCs w:val="22"/>
              </w:rPr>
              <w:t>(5,871,713)</w:t>
            </w:r>
          </w:p>
        </w:tc>
      </w:tr>
      <w:tr w:rsidR="00D52D46" w:rsidRPr="009A6C20" w14:paraId="79B06DC3" w14:textId="77777777" w:rsidTr="00124BE1">
        <w:tc>
          <w:tcPr>
            <w:tcW w:w="4964" w:type="dxa"/>
          </w:tcPr>
          <w:p w14:paraId="43FA3F99" w14:textId="338D50ED" w:rsidR="00D52D46" w:rsidRPr="009A6C20" w:rsidRDefault="00D52D46" w:rsidP="001A1CCD">
            <w:pPr>
              <w:rPr>
                <w:rFonts w:cs="Arial"/>
                <w:szCs w:val="22"/>
              </w:rPr>
            </w:pPr>
            <w:r w:rsidRPr="009A6C20">
              <w:rPr>
                <w:rFonts w:cs="Arial"/>
                <w:szCs w:val="22"/>
              </w:rPr>
              <w:t xml:space="preserve">Net </w:t>
            </w:r>
            <w:r w:rsidR="00124BE1">
              <w:rPr>
                <w:rFonts w:cs="Arial"/>
                <w:szCs w:val="22"/>
              </w:rPr>
              <w:t>increase/(</w:t>
            </w:r>
            <w:r w:rsidRPr="009A6C20">
              <w:rPr>
                <w:rFonts w:cs="Arial"/>
                <w:szCs w:val="22"/>
              </w:rPr>
              <w:t>decrease</w:t>
            </w:r>
            <w:r w:rsidR="00124BE1">
              <w:rPr>
                <w:rFonts w:cs="Arial"/>
                <w:szCs w:val="22"/>
              </w:rPr>
              <w:t>)</w:t>
            </w:r>
            <w:r w:rsidRPr="009A6C20">
              <w:rPr>
                <w:rFonts w:cs="Arial"/>
                <w:szCs w:val="22"/>
              </w:rPr>
              <w:t xml:space="preserve"> in net assets resulting from capital share transactions</w:t>
            </w:r>
          </w:p>
        </w:tc>
        <w:tc>
          <w:tcPr>
            <w:tcW w:w="2016" w:type="dxa"/>
            <w:vAlign w:val="bottom"/>
          </w:tcPr>
          <w:p w14:paraId="6E38A780" w14:textId="0FF4322A" w:rsidR="00D52D46" w:rsidRPr="009A6C20" w:rsidRDefault="00124BE1" w:rsidP="00124BE1">
            <w:pPr>
              <w:jc w:val="right"/>
              <w:rPr>
                <w:rFonts w:cs="Arial"/>
                <w:szCs w:val="22"/>
              </w:rPr>
            </w:pPr>
            <w:r>
              <w:rPr>
                <w:rFonts w:cs="Arial"/>
                <w:szCs w:val="22"/>
              </w:rPr>
              <w:t>37,001,838</w:t>
            </w:r>
            <w:r w:rsidR="00D52D46" w:rsidRPr="009A6C20">
              <w:rPr>
                <w:rFonts w:cs="Arial"/>
                <w:szCs w:val="22"/>
              </w:rPr>
              <w:t xml:space="preserve"> </w:t>
            </w:r>
          </w:p>
        </w:tc>
        <w:tc>
          <w:tcPr>
            <w:tcW w:w="2016" w:type="dxa"/>
            <w:vAlign w:val="bottom"/>
          </w:tcPr>
          <w:p w14:paraId="7266AE77" w14:textId="34A30D0E" w:rsidR="00D52D46" w:rsidRPr="009A6C20" w:rsidRDefault="00D52D46" w:rsidP="00124BE1">
            <w:pPr>
              <w:jc w:val="right"/>
              <w:rPr>
                <w:rFonts w:cs="Arial"/>
                <w:szCs w:val="22"/>
              </w:rPr>
            </w:pPr>
            <w:r w:rsidRPr="009A6C20">
              <w:rPr>
                <w:rFonts w:cs="Arial"/>
                <w:szCs w:val="22"/>
              </w:rPr>
              <w:t xml:space="preserve">(93,157,177) </w:t>
            </w:r>
          </w:p>
        </w:tc>
      </w:tr>
      <w:tr w:rsidR="00D52D46" w:rsidRPr="009A6C20" w14:paraId="2F5AD461" w14:textId="77777777" w:rsidTr="00D52D46">
        <w:tc>
          <w:tcPr>
            <w:tcW w:w="4964" w:type="dxa"/>
          </w:tcPr>
          <w:p w14:paraId="006FDAAA" w14:textId="77777777" w:rsidR="00D52D46" w:rsidRPr="009A6C20" w:rsidRDefault="00D52D46" w:rsidP="001A1CCD">
            <w:pPr>
              <w:rPr>
                <w:rFonts w:cs="Arial"/>
                <w:szCs w:val="22"/>
              </w:rPr>
            </w:pPr>
          </w:p>
        </w:tc>
        <w:tc>
          <w:tcPr>
            <w:tcW w:w="2016" w:type="dxa"/>
          </w:tcPr>
          <w:p w14:paraId="33DA1B7C" w14:textId="77777777" w:rsidR="00D52D46" w:rsidRPr="009A6C20" w:rsidRDefault="00D52D46" w:rsidP="001A1CCD">
            <w:pPr>
              <w:jc w:val="right"/>
              <w:rPr>
                <w:rFonts w:cs="Arial"/>
                <w:szCs w:val="22"/>
              </w:rPr>
            </w:pPr>
          </w:p>
        </w:tc>
        <w:tc>
          <w:tcPr>
            <w:tcW w:w="2016" w:type="dxa"/>
          </w:tcPr>
          <w:p w14:paraId="5E2452F2" w14:textId="0E7EDC67" w:rsidR="00D52D46" w:rsidRPr="009A6C20" w:rsidRDefault="00D52D46" w:rsidP="001A1CCD">
            <w:pPr>
              <w:jc w:val="right"/>
              <w:rPr>
                <w:rFonts w:cs="Arial"/>
                <w:szCs w:val="22"/>
              </w:rPr>
            </w:pPr>
          </w:p>
        </w:tc>
      </w:tr>
      <w:tr w:rsidR="00D52D46" w:rsidRPr="009A6C20" w14:paraId="51C2B34E" w14:textId="77777777" w:rsidTr="00D52D46">
        <w:tc>
          <w:tcPr>
            <w:tcW w:w="4964" w:type="dxa"/>
          </w:tcPr>
          <w:p w14:paraId="4A9262BB" w14:textId="77777777" w:rsidR="00D52D46" w:rsidRPr="009A6C20" w:rsidRDefault="00D52D46" w:rsidP="001A1CCD">
            <w:pPr>
              <w:rPr>
                <w:rFonts w:cs="Arial"/>
                <w:szCs w:val="22"/>
              </w:rPr>
            </w:pPr>
          </w:p>
        </w:tc>
        <w:tc>
          <w:tcPr>
            <w:tcW w:w="2016" w:type="dxa"/>
          </w:tcPr>
          <w:p w14:paraId="7D19CD4D" w14:textId="77777777" w:rsidR="00D52D46" w:rsidRPr="009A6C20" w:rsidRDefault="00D52D46" w:rsidP="001A1CCD">
            <w:pPr>
              <w:jc w:val="right"/>
              <w:rPr>
                <w:rFonts w:cs="Arial"/>
                <w:szCs w:val="22"/>
              </w:rPr>
            </w:pPr>
          </w:p>
        </w:tc>
        <w:tc>
          <w:tcPr>
            <w:tcW w:w="2016" w:type="dxa"/>
          </w:tcPr>
          <w:p w14:paraId="6CE28370" w14:textId="515D2323" w:rsidR="00D52D46" w:rsidRPr="009A6C20" w:rsidRDefault="00D52D46" w:rsidP="001A1CCD">
            <w:pPr>
              <w:jc w:val="right"/>
              <w:rPr>
                <w:rFonts w:cs="Arial"/>
                <w:szCs w:val="22"/>
              </w:rPr>
            </w:pPr>
          </w:p>
        </w:tc>
      </w:tr>
      <w:tr w:rsidR="00D52D46" w:rsidRPr="009A6C20" w14:paraId="68D577E0" w14:textId="77777777" w:rsidTr="00D52D46">
        <w:tc>
          <w:tcPr>
            <w:tcW w:w="4964" w:type="dxa"/>
          </w:tcPr>
          <w:p w14:paraId="3565967F" w14:textId="0148CF06" w:rsidR="00D52D46" w:rsidRPr="009A6C20" w:rsidRDefault="00D52D46" w:rsidP="00124BE1">
            <w:pPr>
              <w:rPr>
                <w:rFonts w:cs="Arial"/>
                <w:szCs w:val="22"/>
              </w:rPr>
            </w:pPr>
            <w:r w:rsidRPr="009A6C20">
              <w:rPr>
                <w:rFonts w:cs="Arial"/>
                <w:b/>
                <w:szCs w:val="22"/>
              </w:rPr>
              <w:t xml:space="preserve">Net </w:t>
            </w:r>
            <w:r w:rsidR="00124BE1" w:rsidRPr="009A6C20">
              <w:rPr>
                <w:rFonts w:cs="Arial"/>
                <w:b/>
                <w:szCs w:val="22"/>
              </w:rPr>
              <w:t xml:space="preserve">increase </w:t>
            </w:r>
            <w:r w:rsidR="00124BE1">
              <w:rPr>
                <w:rFonts w:cs="Arial"/>
                <w:b/>
                <w:szCs w:val="22"/>
              </w:rPr>
              <w:t xml:space="preserve">/ (decrease) </w:t>
            </w:r>
            <w:r w:rsidRPr="009A6C20">
              <w:rPr>
                <w:rFonts w:cs="Arial"/>
                <w:b/>
                <w:szCs w:val="22"/>
              </w:rPr>
              <w:t>in net assets</w:t>
            </w:r>
          </w:p>
        </w:tc>
        <w:tc>
          <w:tcPr>
            <w:tcW w:w="2016" w:type="dxa"/>
          </w:tcPr>
          <w:p w14:paraId="5205F0A5" w14:textId="72976691" w:rsidR="00D52D46" w:rsidRPr="009A6C20" w:rsidRDefault="00124BE1" w:rsidP="001A1CCD">
            <w:pPr>
              <w:jc w:val="right"/>
              <w:rPr>
                <w:rFonts w:cs="Arial"/>
                <w:szCs w:val="22"/>
              </w:rPr>
            </w:pPr>
            <w:r>
              <w:rPr>
                <w:rFonts w:cs="Arial"/>
                <w:szCs w:val="22"/>
              </w:rPr>
              <w:t>73,377,801</w:t>
            </w:r>
            <w:r w:rsidR="00D52D46" w:rsidRPr="009A6C20">
              <w:rPr>
                <w:rFonts w:cs="Arial"/>
                <w:szCs w:val="22"/>
              </w:rPr>
              <w:t xml:space="preserve"> </w:t>
            </w:r>
          </w:p>
        </w:tc>
        <w:tc>
          <w:tcPr>
            <w:tcW w:w="2016" w:type="dxa"/>
          </w:tcPr>
          <w:p w14:paraId="154B53D7" w14:textId="61E61023" w:rsidR="00D52D46" w:rsidRPr="009A6C20" w:rsidRDefault="00D52D46" w:rsidP="001A1CCD">
            <w:pPr>
              <w:jc w:val="right"/>
              <w:rPr>
                <w:rFonts w:cs="Arial"/>
                <w:szCs w:val="22"/>
              </w:rPr>
            </w:pPr>
            <w:r w:rsidRPr="009A6C20">
              <w:rPr>
                <w:rFonts w:cs="Arial"/>
                <w:szCs w:val="22"/>
              </w:rPr>
              <w:t xml:space="preserve">(45,306,068) </w:t>
            </w:r>
          </w:p>
        </w:tc>
      </w:tr>
      <w:tr w:rsidR="00D52D46" w:rsidRPr="009A6C20" w14:paraId="2FEAEEA4" w14:textId="77777777" w:rsidTr="00D52D46">
        <w:tc>
          <w:tcPr>
            <w:tcW w:w="4964" w:type="dxa"/>
          </w:tcPr>
          <w:p w14:paraId="6064AAA2" w14:textId="77777777" w:rsidR="00D52D46" w:rsidRPr="009A6C20" w:rsidRDefault="00D52D46">
            <w:pPr>
              <w:rPr>
                <w:rFonts w:cs="Arial"/>
                <w:sz w:val="22"/>
                <w:szCs w:val="22"/>
              </w:rPr>
            </w:pPr>
          </w:p>
        </w:tc>
        <w:tc>
          <w:tcPr>
            <w:tcW w:w="2016" w:type="dxa"/>
          </w:tcPr>
          <w:p w14:paraId="66CFA68E" w14:textId="77777777" w:rsidR="00D52D46" w:rsidRPr="009A6C20" w:rsidRDefault="00D52D46" w:rsidP="001A1CCD">
            <w:pPr>
              <w:jc w:val="right"/>
              <w:rPr>
                <w:rFonts w:cs="Arial"/>
                <w:szCs w:val="22"/>
              </w:rPr>
            </w:pPr>
          </w:p>
        </w:tc>
        <w:tc>
          <w:tcPr>
            <w:tcW w:w="2016" w:type="dxa"/>
          </w:tcPr>
          <w:p w14:paraId="10F2F606" w14:textId="48EDD34A" w:rsidR="00D52D46" w:rsidRPr="009A6C20" w:rsidRDefault="00D52D46" w:rsidP="001A1CCD">
            <w:pPr>
              <w:jc w:val="right"/>
              <w:rPr>
                <w:rFonts w:cs="Arial"/>
                <w:szCs w:val="22"/>
              </w:rPr>
            </w:pPr>
          </w:p>
        </w:tc>
      </w:tr>
      <w:tr w:rsidR="00D52D46" w:rsidRPr="009A6C20" w14:paraId="0899A362" w14:textId="77777777" w:rsidTr="00D52D46">
        <w:tc>
          <w:tcPr>
            <w:tcW w:w="4964" w:type="dxa"/>
          </w:tcPr>
          <w:p w14:paraId="62D1C55E" w14:textId="77777777" w:rsidR="00D52D46" w:rsidRPr="009A6C20" w:rsidRDefault="00D52D46" w:rsidP="001A1CCD">
            <w:pPr>
              <w:rPr>
                <w:rFonts w:cs="Arial"/>
                <w:b/>
                <w:szCs w:val="22"/>
              </w:rPr>
            </w:pPr>
          </w:p>
        </w:tc>
        <w:tc>
          <w:tcPr>
            <w:tcW w:w="2016" w:type="dxa"/>
          </w:tcPr>
          <w:p w14:paraId="6C53287A" w14:textId="77777777" w:rsidR="00D52D46" w:rsidRPr="009A6C20" w:rsidRDefault="00D52D46" w:rsidP="001A1CCD">
            <w:pPr>
              <w:jc w:val="right"/>
              <w:rPr>
                <w:rFonts w:cs="Arial"/>
                <w:szCs w:val="22"/>
              </w:rPr>
            </w:pPr>
          </w:p>
        </w:tc>
        <w:tc>
          <w:tcPr>
            <w:tcW w:w="2016" w:type="dxa"/>
          </w:tcPr>
          <w:p w14:paraId="248DA568" w14:textId="47358C46" w:rsidR="00D52D46" w:rsidRPr="009A6C20" w:rsidRDefault="00D52D46" w:rsidP="001A1CCD">
            <w:pPr>
              <w:jc w:val="right"/>
              <w:rPr>
                <w:rFonts w:cs="Arial"/>
                <w:szCs w:val="22"/>
              </w:rPr>
            </w:pPr>
          </w:p>
        </w:tc>
      </w:tr>
      <w:tr w:rsidR="00D52D46" w:rsidRPr="009A6C20" w14:paraId="7F47FC04" w14:textId="77777777" w:rsidTr="00D52D46">
        <w:tc>
          <w:tcPr>
            <w:tcW w:w="4964" w:type="dxa"/>
          </w:tcPr>
          <w:p w14:paraId="091DAB17" w14:textId="693B5A1C" w:rsidR="00D52D46" w:rsidRPr="009A6C20" w:rsidRDefault="00D52D46" w:rsidP="001A1CCD">
            <w:pPr>
              <w:rPr>
                <w:rFonts w:cs="Arial"/>
                <w:b/>
                <w:szCs w:val="22"/>
              </w:rPr>
            </w:pPr>
            <w:r w:rsidRPr="009A6C20">
              <w:rPr>
                <w:rFonts w:cs="Arial"/>
                <w:b/>
                <w:szCs w:val="22"/>
              </w:rPr>
              <w:t xml:space="preserve">Net assets, </w:t>
            </w:r>
            <w:r w:rsidRPr="009A6C20">
              <w:rPr>
                <w:rFonts w:cs="Arial"/>
                <w:szCs w:val="22"/>
              </w:rPr>
              <w:t xml:space="preserve">at </w:t>
            </w:r>
            <w:r w:rsidR="0067084F">
              <w:rPr>
                <w:rFonts w:cs="Arial"/>
                <w:szCs w:val="22"/>
              </w:rPr>
              <w:t xml:space="preserve">1 </w:t>
            </w:r>
            <w:r w:rsidRPr="009A6C20">
              <w:rPr>
                <w:rFonts w:cs="Arial"/>
                <w:szCs w:val="22"/>
              </w:rPr>
              <w:t>January 201</w:t>
            </w:r>
            <w:r w:rsidR="00124BE1">
              <w:rPr>
                <w:rFonts w:cs="Arial"/>
                <w:szCs w:val="22"/>
              </w:rPr>
              <w:t>5</w:t>
            </w:r>
          </w:p>
        </w:tc>
        <w:tc>
          <w:tcPr>
            <w:tcW w:w="2016" w:type="dxa"/>
          </w:tcPr>
          <w:p w14:paraId="61E12EF1" w14:textId="4FB2BE44" w:rsidR="00D52D46" w:rsidRPr="009A6C20" w:rsidRDefault="00124BE1" w:rsidP="001A1CCD">
            <w:pPr>
              <w:jc w:val="right"/>
              <w:rPr>
                <w:rFonts w:cs="Arial"/>
                <w:szCs w:val="22"/>
              </w:rPr>
            </w:pPr>
            <w:r>
              <w:rPr>
                <w:rFonts w:cs="Arial"/>
                <w:szCs w:val="22"/>
              </w:rPr>
              <w:t>363,725,627</w:t>
            </w:r>
          </w:p>
        </w:tc>
        <w:tc>
          <w:tcPr>
            <w:tcW w:w="2016" w:type="dxa"/>
          </w:tcPr>
          <w:p w14:paraId="52394594" w14:textId="2B85000E" w:rsidR="00D52D46" w:rsidRPr="009A6C20" w:rsidRDefault="00124BE1" w:rsidP="001A1CCD">
            <w:pPr>
              <w:jc w:val="right"/>
              <w:rPr>
                <w:rFonts w:cs="Arial"/>
                <w:szCs w:val="22"/>
              </w:rPr>
            </w:pPr>
            <w:r>
              <w:rPr>
                <w:rFonts w:cs="Arial"/>
                <w:szCs w:val="22"/>
              </w:rPr>
              <w:t>409,031,695</w:t>
            </w:r>
          </w:p>
        </w:tc>
      </w:tr>
      <w:tr w:rsidR="00D52D46" w:rsidRPr="009A6C20" w14:paraId="7A630CAE" w14:textId="77777777" w:rsidTr="00D52D46">
        <w:tc>
          <w:tcPr>
            <w:tcW w:w="4964" w:type="dxa"/>
          </w:tcPr>
          <w:p w14:paraId="079C1DDE" w14:textId="77777777" w:rsidR="00D52D46" w:rsidRPr="009A6C20" w:rsidRDefault="00D52D46">
            <w:pPr>
              <w:rPr>
                <w:rFonts w:cs="Arial"/>
                <w:b/>
                <w:sz w:val="22"/>
                <w:szCs w:val="22"/>
              </w:rPr>
            </w:pPr>
          </w:p>
        </w:tc>
        <w:tc>
          <w:tcPr>
            <w:tcW w:w="2016" w:type="dxa"/>
          </w:tcPr>
          <w:p w14:paraId="2F159BAD" w14:textId="77777777" w:rsidR="00D52D46" w:rsidRPr="009A6C20" w:rsidRDefault="00D52D46" w:rsidP="001A1CCD">
            <w:pPr>
              <w:jc w:val="right"/>
              <w:rPr>
                <w:rFonts w:cs="Arial"/>
                <w:szCs w:val="22"/>
              </w:rPr>
            </w:pPr>
          </w:p>
        </w:tc>
        <w:tc>
          <w:tcPr>
            <w:tcW w:w="2016" w:type="dxa"/>
          </w:tcPr>
          <w:p w14:paraId="0B327D3B" w14:textId="16D2C67E" w:rsidR="00D52D46" w:rsidRPr="009A6C20" w:rsidRDefault="00D52D46" w:rsidP="001A1CCD">
            <w:pPr>
              <w:jc w:val="right"/>
              <w:rPr>
                <w:rFonts w:cs="Arial"/>
                <w:szCs w:val="22"/>
              </w:rPr>
            </w:pPr>
          </w:p>
        </w:tc>
      </w:tr>
      <w:tr w:rsidR="00D52D46" w:rsidRPr="009A6C20" w14:paraId="62149C7D" w14:textId="77777777" w:rsidTr="00D52D46">
        <w:tc>
          <w:tcPr>
            <w:tcW w:w="4964" w:type="dxa"/>
          </w:tcPr>
          <w:p w14:paraId="44EA76AE" w14:textId="77777777" w:rsidR="00D52D46" w:rsidRPr="009A6C20" w:rsidRDefault="00D52D46" w:rsidP="001A1CCD">
            <w:pPr>
              <w:rPr>
                <w:rFonts w:cs="Arial"/>
                <w:b/>
                <w:szCs w:val="22"/>
              </w:rPr>
            </w:pPr>
          </w:p>
        </w:tc>
        <w:tc>
          <w:tcPr>
            <w:tcW w:w="2016" w:type="dxa"/>
          </w:tcPr>
          <w:p w14:paraId="4A09B27B" w14:textId="77777777" w:rsidR="00D52D46" w:rsidRPr="009A6C20" w:rsidRDefault="00D52D46" w:rsidP="001A1CCD">
            <w:pPr>
              <w:jc w:val="right"/>
              <w:rPr>
                <w:rFonts w:cs="Arial"/>
                <w:szCs w:val="22"/>
              </w:rPr>
            </w:pPr>
          </w:p>
        </w:tc>
        <w:tc>
          <w:tcPr>
            <w:tcW w:w="2016" w:type="dxa"/>
          </w:tcPr>
          <w:p w14:paraId="71D7DAA2" w14:textId="6B0215C2" w:rsidR="00D52D46" w:rsidRPr="009A6C20" w:rsidRDefault="00D52D46" w:rsidP="001A1CCD">
            <w:pPr>
              <w:jc w:val="right"/>
              <w:rPr>
                <w:rFonts w:cs="Arial"/>
                <w:szCs w:val="22"/>
              </w:rPr>
            </w:pPr>
          </w:p>
        </w:tc>
      </w:tr>
      <w:tr w:rsidR="00D52D46" w:rsidRPr="009A6C20" w14:paraId="6ED484A6" w14:textId="77777777" w:rsidTr="00D52D46">
        <w:tc>
          <w:tcPr>
            <w:tcW w:w="4964" w:type="dxa"/>
          </w:tcPr>
          <w:p w14:paraId="4BC444C6" w14:textId="01C6B8FE" w:rsidR="00D52D46" w:rsidRPr="009A6C20" w:rsidRDefault="00D52D46" w:rsidP="001A1CCD">
            <w:pPr>
              <w:rPr>
                <w:rFonts w:cs="Arial"/>
                <w:b/>
                <w:szCs w:val="22"/>
              </w:rPr>
            </w:pPr>
            <w:r w:rsidRPr="009A6C20">
              <w:rPr>
                <w:rFonts w:cs="Arial"/>
                <w:b/>
                <w:szCs w:val="22"/>
              </w:rPr>
              <w:t xml:space="preserve">Net assets, </w:t>
            </w:r>
            <w:r w:rsidRPr="009A6C20">
              <w:rPr>
                <w:rFonts w:cs="Arial"/>
                <w:szCs w:val="22"/>
              </w:rPr>
              <w:t>at 31 December 201</w:t>
            </w:r>
            <w:r w:rsidR="00124BE1">
              <w:rPr>
                <w:rFonts w:cs="Arial"/>
                <w:szCs w:val="22"/>
              </w:rPr>
              <w:t>5</w:t>
            </w:r>
          </w:p>
        </w:tc>
        <w:tc>
          <w:tcPr>
            <w:tcW w:w="2016" w:type="dxa"/>
          </w:tcPr>
          <w:p w14:paraId="3188581D" w14:textId="680C0AB1" w:rsidR="00D52D46" w:rsidRPr="009A6C20" w:rsidRDefault="00124BE1" w:rsidP="001A1CCD">
            <w:pPr>
              <w:jc w:val="right"/>
              <w:rPr>
                <w:rFonts w:cs="Arial"/>
                <w:szCs w:val="22"/>
              </w:rPr>
            </w:pPr>
            <w:r>
              <w:rPr>
                <w:rFonts w:cs="Arial"/>
                <w:szCs w:val="22"/>
              </w:rPr>
              <w:t>437,103,428</w:t>
            </w:r>
          </w:p>
        </w:tc>
        <w:tc>
          <w:tcPr>
            <w:tcW w:w="2016" w:type="dxa"/>
          </w:tcPr>
          <w:p w14:paraId="438F2B4F" w14:textId="7110EE06" w:rsidR="00D52D46" w:rsidRPr="009A6C20" w:rsidRDefault="00D52D46" w:rsidP="001A1CCD">
            <w:pPr>
              <w:jc w:val="right"/>
              <w:rPr>
                <w:rFonts w:cs="Arial"/>
                <w:szCs w:val="22"/>
              </w:rPr>
            </w:pPr>
            <w:r w:rsidRPr="009A6C20">
              <w:rPr>
                <w:rFonts w:cs="Arial"/>
                <w:szCs w:val="22"/>
              </w:rPr>
              <w:t>363,725,627</w:t>
            </w:r>
          </w:p>
        </w:tc>
      </w:tr>
    </w:tbl>
    <w:p w14:paraId="60ED8A37" w14:textId="77777777" w:rsidR="004F53FA" w:rsidRPr="009A6C20" w:rsidRDefault="004F53FA" w:rsidP="001A1CCD">
      <w:pPr>
        <w:rPr>
          <w:rFonts w:cs="Arial"/>
          <w:szCs w:val="22"/>
        </w:rPr>
      </w:pPr>
    </w:p>
    <w:p w14:paraId="13DC50D3" w14:textId="77777777" w:rsidR="00470906" w:rsidRDefault="004F53FA" w:rsidP="00470906">
      <w:pPr>
        <w:tabs>
          <w:tab w:val="left" w:pos="0"/>
        </w:tabs>
        <w:rPr>
          <w:rFonts w:ascii="Times New Roman" w:hAnsi="Times New Roman"/>
          <w:szCs w:val="22"/>
        </w:rPr>
      </w:pPr>
      <w:r w:rsidRPr="009A6C20">
        <w:rPr>
          <w:rFonts w:cs="Arial"/>
          <w:szCs w:val="22"/>
        </w:rPr>
        <w:t>See accompanying N</w:t>
      </w:r>
      <w:r w:rsidR="001A1CCD" w:rsidRPr="009A6C20">
        <w:rPr>
          <w:rFonts w:cs="Arial"/>
          <w:szCs w:val="22"/>
        </w:rPr>
        <w:t>otes</w:t>
      </w:r>
      <w:r w:rsidRPr="009A6C20">
        <w:rPr>
          <w:rFonts w:cs="Arial"/>
          <w:szCs w:val="22"/>
        </w:rPr>
        <w:t xml:space="preserve"> to Financial Statements</w:t>
      </w:r>
    </w:p>
    <w:p w14:paraId="06157743" w14:textId="77777777" w:rsidR="00470906" w:rsidRDefault="00470906" w:rsidP="00470906">
      <w:pPr>
        <w:tabs>
          <w:tab w:val="left" w:pos="0"/>
        </w:tabs>
        <w:rPr>
          <w:rFonts w:ascii="Times New Roman" w:hAnsi="Times New Roman"/>
          <w:szCs w:val="22"/>
        </w:rPr>
      </w:pPr>
    </w:p>
    <w:p w14:paraId="613AD785" w14:textId="77777777" w:rsidR="00124BE1" w:rsidRDefault="00124BE1" w:rsidP="00470906">
      <w:pPr>
        <w:tabs>
          <w:tab w:val="left" w:pos="0"/>
        </w:tabs>
        <w:rPr>
          <w:rFonts w:cs="Arial"/>
          <w:b/>
          <w:szCs w:val="22"/>
        </w:rPr>
      </w:pPr>
    </w:p>
    <w:p w14:paraId="008CF932" w14:textId="77777777" w:rsidR="001A1CCD" w:rsidRPr="00470906" w:rsidRDefault="00556FE6" w:rsidP="00470906">
      <w:pPr>
        <w:tabs>
          <w:tab w:val="left" w:pos="0"/>
        </w:tabs>
        <w:rPr>
          <w:rFonts w:ascii="Times New Roman" w:hAnsi="Times New Roman"/>
          <w:szCs w:val="22"/>
        </w:rPr>
      </w:pPr>
      <w:r w:rsidRPr="009A6C20">
        <w:rPr>
          <w:rFonts w:cs="Arial"/>
          <w:b/>
          <w:szCs w:val="22"/>
        </w:rPr>
        <w:t>AUDITED STATEMENT</w:t>
      </w:r>
      <w:r w:rsidR="00BD66D2" w:rsidRPr="009A6C20">
        <w:rPr>
          <w:rFonts w:cs="Arial"/>
          <w:b/>
          <w:szCs w:val="22"/>
        </w:rPr>
        <w:t>S</w:t>
      </w:r>
      <w:r w:rsidR="00470906">
        <w:rPr>
          <w:rFonts w:cs="Arial"/>
          <w:b/>
          <w:szCs w:val="22"/>
        </w:rPr>
        <w:t xml:space="preserve"> OF CASH FLOWS</w:t>
      </w:r>
    </w:p>
    <w:p w14:paraId="3B409AF4" w14:textId="77777777" w:rsidR="001A1CCD" w:rsidRPr="009A6C20" w:rsidRDefault="001A1CCD" w:rsidP="001A1CCD">
      <w:pPr>
        <w:rPr>
          <w:rFonts w:cs="Arial"/>
          <w:szCs w:val="22"/>
        </w:rPr>
      </w:pPr>
    </w:p>
    <w:tbl>
      <w:tblPr>
        <w:tblStyle w:val="TableGrid"/>
        <w:tblW w:w="0" w:type="auto"/>
        <w:tblLook w:val="04A0" w:firstRow="1" w:lastRow="0" w:firstColumn="1" w:lastColumn="0" w:noHBand="0" w:noVBand="1"/>
      </w:tblPr>
      <w:tblGrid>
        <w:gridCol w:w="4928"/>
        <w:gridCol w:w="2126"/>
        <w:gridCol w:w="1985"/>
      </w:tblGrid>
      <w:tr w:rsidR="00124BE1" w:rsidRPr="009A6C20" w14:paraId="745CB452" w14:textId="77777777" w:rsidTr="0067084F">
        <w:tc>
          <w:tcPr>
            <w:tcW w:w="4928" w:type="dxa"/>
          </w:tcPr>
          <w:p w14:paraId="3885476D" w14:textId="77777777" w:rsidR="00124BE1" w:rsidRPr="009A6C20" w:rsidRDefault="00124BE1" w:rsidP="001A1CCD">
            <w:pPr>
              <w:rPr>
                <w:rFonts w:cs="Arial"/>
                <w:i/>
                <w:szCs w:val="22"/>
              </w:rPr>
            </w:pPr>
          </w:p>
          <w:p w14:paraId="6C11FC28" w14:textId="77777777" w:rsidR="00124BE1" w:rsidRPr="009A6C20" w:rsidRDefault="00124BE1" w:rsidP="001A1CCD">
            <w:pPr>
              <w:rPr>
                <w:rFonts w:cs="Arial"/>
                <w:b/>
                <w:i/>
                <w:szCs w:val="22"/>
              </w:rPr>
            </w:pPr>
            <w:r w:rsidRPr="009A6C20">
              <w:rPr>
                <w:rFonts w:cs="Arial"/>
                <w:i/>
                <w:szCs w:val="22"/>
              </w:rPr>
              <w:t>(Expressed in United States Dollars)</w:t>
            </w:r>
          </w:p>
        </w:tc>
        <w:tc>
          <w:tcPr>
            <w:tcW w:w="2126" w:type="dxa"/>
          </w:tcPr>
          <w:p w14:paraId="13356DAE" w14:textId="3F5986A2" w:rsidR="00124BE1" w:rsidRPr="009A6C20" w:rsidRDefault="00124BE1" w:rsidP="001A1CCD">
            <w:pPr>
              <w:jc w:val="center"/>
              <w:rPr>
                <w:rFonts w:cs="Arial"/>
                <w:b/>
                <w:szCs w:val="22"/>
              </w:rPr>
            </w:pPr>
            <w:r w:rsidRPr="009A6C20">
              <w:rPr>
                <w:rFonts w:cs="Arial"/>
                <w:b/>
                <w:szCs w:val="22"/>
              </w:rPr>
              <w:t>Year Ended 31 December 201</w:t>
            </w:r>
            <w:r>
              <w:rPr>
                <w:rFonts w:cs="Arial"/>
                <w:b/>
                <w:szCs w:val="22"/>
              </w:rPr>
              <w:t>5</w:t>
            </w:r>
          </w:p>
        </w:tc>
        <w:tc>
          <w:tcPr>
            <w:tcW w:w="1985" w:type="dxa"/>
          </w:tcPr>
          <w:p w14:paraId="09038963" w14:textId="7A8674A2" w:rsidR="00124BE1" w:rsidRPr="009A6C20" w:rsidRDefault="00124BE1" w:rsidP="001A1CCD">
            <w:pPr>
              <w:jc w:val="center"/>
              <w:rPr>
                <w:rFonts w:cs="Arial"/>
                <w:b/>
                <w:szCs w:val="22"/>
              </w:rPr>
            </w:pPr>
            <w:r w:rsidRPr="009A6C20">
              <w:rPr>
                <w:rFonts w:cs="Arial"/>
                <w:b/>
                <w:szCs w:val="22"/>
              </w:rPr>
              <w:t>Year Ended 31 December 2014</w:t>
            </w:r>
          </w:p>
        </w:tc>
      </w:tr>
      <w:tr w:rsidR="00124BE1" w:rsidRPr="009A6C20" w14:paraId="60C77E9F" w14:textId="77777777" w:rsidTr="0067084F">
        <w:tc>
          <w:tcPr>
            <w:tcW w:w="4928" w:type="dxa"/>
          </w:tcPr>
          <w:p w14:paraId="237E9784" w14:textId="77777777" w:rsidR="00124BE1" w:rsidRPr="009A6C20" w:rsidRDefault="00124BE1" w:rsidP="001A1CCD">
            <w:pPr>
              <w:rPr>
                <w:rFonts w:cs="Arial"/>
                <w:b/>
                <w:szCs w:val="22"/>
              </w:rPr>
            </w:pPr>
          </w:p>
        </w:tc>
        <w:tc>
          <w:tcPr>
            <w:tcW w:w="2126" w:type="dxa"/>
          </w:tcPr>
          <w:p w14:paraId="13E72AC9" w14:textId="2BEB33FF" w:rsidR="00124BE1" w:rsidRPr="009A6C20" w:rsidRDefault="00124BE1" w:rsidP="008B5648">
            <w:pPr>
              <w:jc w:val="center"/>
              <w:rPr>
                <w:rFonts w:cs="Arial"/>
                <w:b/>
                <w:szCs w:val="22"/>
              </w:rPr>
            </w:pPr>
            <w:r w:rsidRPr="009A6C20">
              <w:rPr>
                <w:rFonts w:cs="Arial"/>
                <w:b/>
                <w:szCs w:val="22"/>
              </w:rPr>
              <w:t>$</w:t>
            </w:r>
          </w:p>
        </w:tc>
        <w:tc>
          <w:tcPr>
            <w:tcW w:w="1985" w:type="dxa"/>
          </w:tcPr>
          <w:p w14:paraId="4A8761D1" w14:textId="03BD6563" w:rsidR="00124BE1" w:rsidRPr="009A6C20" w:rsidRDefault="00124BE1" w:rsidP="008B5648">
            <w:pPr>
              <w:jc w:val="center"/>
              <w:rPr>
                <w:rFonts w:cs="Arial"/>
                <w:b/>
                <w:szCs w:val="22"/>
              </w:rPr>
            </w:pPr>
            <w:r w:rsidRPr="009A6C20">
              <w:rPr>
                <w:rFonts w:cs="Arial"/>
                <w:b/>
                <w:szCs w:val="22"/>
              </w:rPr>
              <w:t>$</w:t>
            </w:r>
          </w:p>
        </w:tc>
      </w:tr>
      <w:tr w:rsidR="00124BE1" w:rsidRPr="009A6C20" w14:paraId="0CBBF078" w14:textId="77777777" w:rsidTr="0067084F">
        <w:tc>
          <w:tcPr>
            <w:tcW w:w="4928" w:type="dxa"/>
          </w:tcPr>
          <w:p w14:paraId="60517A91" w14:textId="77777777" w:rsidR="00124BE1" w:rsidRPr="009A6C20" w:rsidRDefault="00124BE1" w:rsidP="001A1CCD">
            <w:pPr>
              <w:rPr>
                <w:rFonts w:cs="Arial"/>
                <w:szCs w:val="22"/>
              </w:rPr>
            </w:pPr>
            <w:r w:rsidRPr="009A6C20">
              <w:rPr>
                <w:rFonts w:cs="Arial"/>
                <w:b/>
                <w:szCs w:val="22"/>
              </w:rPr>
              <w:t>Cash flows from operating activities</w:t>
            </w:r>
          </w:p>
        </w:tc>
        <w:tc>
          <w:tcPr>
            <w:tcW w:w="2126" w:type="dxa"/>
          </w:tcPr>
          <w:p w14:paraId="74596972" w14:textId="77777777" w:rsidR="00124BE1" w:rsidRPr="009A6C20" w:rsidRDefault="00124BE1" w:rsidP="001A1CCD">
            <w:pPr>
              <w:jc w:val="right"/>
              <w:rPr>
                <w:rFonts w:cs="Arial"/>
                <w:szCs w:val="22"/>
              </w:rPr>
            </w:pPr>
          </w:p>
        </w:tc>
        <w:tc>
          <w:tcPr>
            <w:tcW w:w="1985" w:type="dxa"/>
          </w:tcPr>
          <w:p w14:paraId="30D80097" w14:textId="26610DC1" w:rsidR="00124BE1" w:rsidRPr="009A6C20" w:rsidRDefault="00124BE1" w:rsidP="001A1CCD">
            <w:pPr>
              <w:jc w:val="right"/>
              <w:rPr>
                <w:rFonts w:cs="Arial"/>
                <w:szCs w:val="22"/>
              </w:rPr>
            </w:pPr>
          </w:p>
        </w:tc>
      </w:tr>
      <w:tr w:rsidR="00124BE1" w:rsidRPr="009A6C20" w14:paraId="1EFD00E4" w14:textId="77777777" w:rsidTr="0067084F">
        <w:tc>
          <w:tcPr>
            <w:tcW w:w="4928" w:type="dxa"/>
          </w:tcPr>
          <w:p w14:paraId="2104E2BE" w14:textId="77777777" w:rsidR="00124BE1" w:rsidRPr="009A6C20" w:rsidRDefault="00124BE1" w:rsidP="001A1CCD">
            <w:pPr>
              <w:rPr>
                <w:rFonts w:cs="Arial"/>
                <w:szCs w:val="22"/>
              </w:rPr>
            </w:pPr>
          </w:p>
        </w:tc>
        <w:tc>
          <w:tcPr>
            <w:tcW w:w="2126" w:type="dxa"/>
          </w:tcPr>
          <w:p w14:paraId="1DEEA7E9" w14:textId="77777777" w:rsidR="00124BE1" w:rsidRPr="009A6C20" w:rsidRDefault="00124BE1" w:rsidP="001A1CCD">
            <w:pPr>
              <w:jc w:val="right"/>
              <w:rPr>
                <w:rFonts w:cs="Arial"/>
                <w:szCs w:val="22"/>
              </w:rPr>
            </w:pPr>
          </w:p>
        </w:tc>
        <w:tc>
          <w:tcPr>
            <w:tcW w:w="1985" w:type="dxa"/>
          </w:tcPr>
          <w:p w14:paraId="537B60E0" w14:textId="252F2D6E" w:rsidR="00124BE1" w:rsidRPr="009A6C20" w:rsidRDefault="00124BE1" w:rsidP="001A1CCD">
            <w:pPr>
              <w:jc w:val="right"/>
              <w:rPr>
                <w:rFonts w:cs="Arial"/>
                <w:szCs w:val="22"/>
              </w:rPr>
            </w:pPr>
          </w:p>
        </w:tc>
      </w:tr>
      <w:tr w:rsidR="00124BE1" w:rsidRPr="009A6C20" w14:paraId="21A2A4BB" w14:textId="77777777" w:rsidTr="0067084F">
        <w:tc>
          <w:tcPr>
            <w:tcW w:w="4928" w:type="dxa"/>
          </w:tcPr>
          <w:p w14:paraId="0E7E7F16" w14:textId="402FCC50" w:rsidR="00124BE1" w:rsidRPr="009A6C20" w:rsidRDefault="00124BE1" w:rsidP="001A1CCD">
            <w:pPr>
              <w:rPr>
                <w:rFonts w:cs="Arial"/>
                <w:szCs w:val="22"/>
              </w:rPr>
            </w:pPr>
            <w:r w:rsidRPr="009A6C20">
              <w:rPr>
                <w:rFonts w:cs="Arial"/>
                <w:szCs w:val="22"/>
              </w:rPr>
              <w:t>Net increase in net assets resulting from operations</w:t>
            </w:r>
          </w:p>
        </w:tc>
        <w:tc>
          <w:tcPr>
            <w:tcW w:w="2126" w:type="dxa"/>
            <w:vAlign w:val="bottom"/>
          </w:tcPr>
          <w:p w14:paraId="57EE16E4" w14:textId="34E24758" w:rsidR="00124BE1" w:rsidRPr="009A6C20" w:rsidRDefault="008D4784" w:rsidP="008D4784">
            <w:pPr>
              <w:jc w:val="right"/>
              <w:rPr>
                <w:rFonts w:cs="Arial"/>
                <w:szCs w:val="22"/>
              </w:rPr>
            </w:pPr>
            <w:r>
              <w:rPr>
                <w:rFonts w:cs="Arial"/>
                <w:szCs w:val="22"/>
              </w:rPr>
              <w:t>36,375,963</w:t>
            </w:r>
          </w:p>
        </w:tc>
        <w:tc>
          <w:tcPr>
            <w:tcW w:w="1985" w:type="dxa"/>
            <w:vAlign w:val="bottom"/>
          </w:tcPr>
          <w:p w14:paraId="25DE38A6" w14:textId="67AC4C0A" w:rsidR="00124BE1" w:rsidRPr="009A6C20" w:rsidRDefault="00124BE1" w:rsidP="008D4784">
            <w:pPr>
              <w:jc w:val="right"/>
              <w:rPr>
                <w:rFonts w:cs="Arial"/>
                <w:sz w:val="22"/>
                <w:szCs w:val="22"/>
              </w:rPr>
            </w:pPr>
            <w:r w:rsidRPr="009A6C20">
              <w:rPr>
                <w:rFonts w:cs="Arial"/>
                <w:szCs w:val="22"/>
              </w:rPr>
              <w:t>47,851,109</w:t>
            </w:r>
          </w:p>
        </w:tc>
      </w:tr>
      <w:tr w:rsidR="00124BE1" w:rsidRPr="009A6C20" w14:paraId="2E326461" w14:textId="77777777" w:rsidTr="0067084F">
        <w:tc>
          <w:tcPr>
            <w:tcW w:w="4928" w:type="dxa"/>
          </w:tcPr>
          <w:p w14:paraId="779663F6" w14:textId="67D7C991" w:rsidR="00124BE1" w:rsidRPr="009A6C20" w:rsidRDefault="00124BE1" w:rsidP="001A1CCD">
            <w:pPr>
              <w:rPr>
                <w:rFonts w:cs="Arial"/>
                <w:szCs w:val="22"/>
              </w:rPr>
            </w:pPr>
            <w:r w:rsidRPr="009A6C20">
              <w:rPr>
                <w:rFonts w:cs="Arial"/>
                <w:szCs w:val="22"/>
              </w:rPr>
              <w:t xml:space="preserve">Adjustments to reconcile net increase in net assets resulting from operations to net cash </w:t>
            </w:r>
            <w:r w:rsidR="008D4784">
              <w:rPr>
                <w:rFonts w:cs="Arial"/>
                <w:szCs w:val="22"/>
              </w:rPr>
              <w:t>(used in)/</w:t>
            </w:r>
            <w:r w:rsidRPr="009A6C20">
              <w:rPr>
                <w:rFonts w:cs="Arial"/>
                <w:szCs w:val="22"/>
              </w:rPr>
              <w:t>provided by operating activities:</w:t>
            </w:r>
          </w:p>
          <w:p w14:paraId="5F85BFE3" w14:textId="77777777" w:rsidR="00124BE1" w:rsidRPr="009A6C20" w:rsidRDefault="00124BE1" w:rsidP="001A1CCD">
            <w:pPr>
              <w:rPr>
                <w:rFonts w:cs="Arial"/>
                <w:szCs w:val="22"/>
              </w:rPr>
            </w:pPr>
          </w:p>
        </w:tc>
        <w:tc>
          <w:tcPr>
            <w:tcW w:w="2126" w:type="dxa"/>
          </w:tcPr>
          <w:p w14:paraId="2ED8191D" w14:textId="77777777" w:rsidR="00124BE1" w:rsidRPr="009A6C20" w:rsidRDefault="00124BE1" w:rsidP="001A1CCD">
            <w:pPr>
              <w:jc w:val="right"/>
              <w:rPr>
                <w:rFonts w:cs="Arial"/>
                <w:szCs w:val="22"/>
              </w:rPr>
            </w:pPr>
          </w:p>
        </w:tc>
        <w:tc>
          <w:tcPr>
            <w:tcW w:w="1985" w:type="dxa"/>
          </w:tcPr>
          <w:p w14:paraId="291F5A7B" w14:textId="63F0FAF3" w:rsidR="00124BE1" w:rsidRPr="009A6C20" w:rsidRDefault="00124BE1" w:rsidP="001A1CCD">
            <w:pPr>
              <w:jc w:val="right"/>
              <w:rPr>
                <w:rFonts w:cs="Arial"/>
                <w:szCs w:val="22"/>
              </w:rPr>
            </w:pPr>
          </w:p>
        </w:tc>
      </w:tr>
      <w:tr w:rsidR="00124BE1" w:rsidRPr="009A6C20" w14:paraId="49D8428D" w14:textId="77777777" w:rsidTr="0067084F">
        <w:tc>
          <w:tcPr>
            <w:tcW w:w="4928" w:type="dxa"/>
          </w:tcPr>
          <w:p w14:paraId="5E41B640" w14:textId="4109B895" w:rsidR="00124BE1" w:rsidRPr="009A6C20" w:rsidRDefault="00124BE1" w:rsidP="008D4784">
            <w:pPr>
              <w:ind w:left="720"/>
              <w:rPr>
                <w:rFonts w:cs="Arial"/>
                <w:sz w:val="22"/>
                <w:szCs w:val="22"/>
              </w:rPr>
            </w:pPr>
            <w:r w:rsidRPr="009A6C20">
              <w:rPr>
                <w:rFonts w:cs="Arial"/>
                <w:szCs w:val="22"/>
              </w:rPr>
              <w:t>Net investment l</w:t>
            </w:r>
            <w:r w:rsidR="008D4784">
              <w:rPr>
                <w:rFonts w:cs="Arial"/>
                <w:szCs w:val="22"/>
              </w:rPr>
              <w:t>oss, net realised gain and net decrease</w:t>
            </w:r>
            <w:r w:rsidRPr="009A6C20">
              <w:rPr>
                <w:rFonts w:cs="Arial"/>
                <w:szCs w:val="22"/>
              </w:rPr>
              <w:t xml:space="preserve"> in unrealised appreciation on securities allocated fr</w:t>
            </w:r>
            <w:r w:rsidR="008D4784">
              <w:rPr>
                <w:rFonts w:cs="Arial"/>
                <w:szCs w:val="22"/>
              </w:rPr>
              <w:t>om CATCo Reinsurance Fund Ltd. -</w:t>
            </w:r>
            <w:r w:rsidRPr="009A6C20">
              <w:rPr>
                <w:rFonts w:cs="Arial"/>
                <w:szCs w:val="22"/>
              </w:rPr>
              <w:t xml:space="preserve"> CATCo Diversified Fund</w:t>
            </w:r>
            <w:r w:rsidRPr="009A6C20">
              <w:rPr>
                <w:rFonts w:cs="Arial"/>
                <w:szCs w:val="22"/>
              </w:rPr>
              <w:tab/>
            </w:r>
          </w:p>
        </w:tc>
        <w:tc>
          <w:tcPr>
            <w:tcW w:w="2126" w:type="dxa"/>
            <w:vAlign w:val="bottom"/>
          </w:tcPr>
          <w:p w14:paraId="77349C0D" w14:textId="2EFBE9D2" w:rsidR="00124BE1" w:rsidRPr="009A6C20" w:rsidRDefault="00124BE1" w:rsidP="008D4784">
            <w:pPr>
              <w:jc w:val="right"/>
              <w:rPr>
                <w:rFonts w:cs="Arial"/>
                <w:szCs w:val="22"/>
              </w:rPr>
            </w:pPr>
            <w:r w:rsidRPr="009A6C20">
              <w:rPr>
                <w:rFonts w:cs="Arial"/>
                <w:szCs w:val="22"/>
              </w:rPr>
              <w:t>(</w:t>
            </w:r>
            <w:r w:rsidR="008D4784">
              <w:rPr>
                <w:rFonts w:cs="Arial"/>
                <w:szCs w:val="22"/>
              </w:rPr>
              <w:t>38,916,827</w:t>
            </w:r>
            <w:r w:rsidRPr="009A6C20">
              <w:rPr>
                <w:rFonts w:cs="Arial"/>
                <w:szCs w:val="22"/>
              </w:rPr>
              <w:t>)</w:t>
            </w:r>
          </w:p>
        </w:tc>
        <w:tc>
          <w:tcPr>
            <w:tcW w:w="1985" w:type="dxa"/>
            <w:vAlign w:val="bottom"/>
          </w:tcPr>
          <w:p w14:paraId="1A7C82C8" w14:textId="5D375670" w:rsidR="00124BE1" w:rsidRPr="009A6C20" w:rsidRDefault="00124BE1" w:rsidP="008D4784">
            <w:pPr>
              <w:jc w:val="right"/>
              <w:rPr>
                <w:rFonts w:cs="Arial"/>
                <w:szCs w:val="22"/>
              </w:rPr>
            </w:pPr>
            <w:r w:rsidRPr="009A6C20">
              <w:rPr>
                <w:rFonts w:cs="Arial"/>
                <w:szCs w:val="22"/>
              </w:rPr>
              <w:t>(49,573,425)</w:t>
            </w:r>
          </w:p>
        </w:tc>
      </w:tr>
      <w:tr w:rsidR="00124BE1" w:rsidRPr="009A6C20" w14:paraId="4F52D036" w14:textId="77777777" w:rsidTr="0067084F">
        <w:tc>
          <w:tcPr>
            <w:tcW w:w="4928" w:type="dxa"/>
          </w:tcPr>
          <w:p w14:paraId="04BDEF62" w14:textId="77777777" w:rsidR="008D4784" w:rsidRDefault="00124BE1" w:rsidP="00D14955">
            <w:pPr>
              <w:ind w:left="720"/>
              <w:rPr>
                <w:rFonts w:cs="Arial"/>
                <w:szCs w:val="22"/>
              </w:rPr>
            </w:pPr>
            <w:r w:rsidRPr="009A6C20">
              <w:rPr>
                <w:rFonts w:cs="Arial"/>
                <w:szCs w:val="22"/>
              </w:rPr>
              <w:t xml:space="preserve">Sale of investment in </w:t>
            </w:r>
          </w:p>
          <w:p w14:paraId="087DE781" w14:textId="34D33042" w:rsidR="00124BE1" w:rsidRPr="009A6C20" w:rsidRDefault="008D4784" w:rsidP="00D14955">
            <w:pPr>
              <w:ind w:left="720"/>
              <w:rPr>
                <w:rFonts w:cs="Arial"/>
                <w:sz w:val="22"/>
                <w:szCs w:val="22"/>
              </w:rPr>
            </w:pPr>
            <w:r>
              <w:rPr>
                <w:rFonts w:cs="Arial"/>
                <w:szCs w:val="22"/>
              </w:rPr>
              <w:t>CATCo Reinsurance Fund Ltd. -</w:t>
            </w:r>
            <w:r w:rsidR="00124BE1" w:rsidRPr="009A6C20">
              <w:rPr>
                <w:rFonts w:cs="Arial"/>
                <w:szCs w:val="22"/>
              </w:rPr>
              <w:t xml:space="preserve"> CATCo Diversified Fund </w:t>
            </w:r>
          </w:p>
        </w:tc>
        <w:tc>
          <w:tcPr>
            <w:tcW w:w="2126" w:type="dxa"/>
            <w:vAlign w:val="bottom"/>
          </w:tcPr>
          <w:p w14:paraId="7B8615F2" w14:textId="0619A3F9" w:rsidR="00124BE1" w:rsidRPr="009A6C20" w:rsidRDefault="008D4784" w:rsidP="008D4784">
            <w:pPr>
              <w:jc w:val="right"/>
              <w:rPr>
                <w:rFonts w:cs="Arial"/>
                <w:szCs w:val="22"/>
              </w:rPr>
            </w:pPr>
            <w:r>
              <w:rPr>
                <w:rFonts w:cs="Arial"/>
                <w:szCs w:val="22"/>
              </w:rPr>
              <w:t>55,200,000</w:t>
            </w:r>
          </w:p>
        </w:tc>
        <w:tc>
          <w:tcPr>
            <w:tcW w:w="1985" w:type="dxa"/>
            <w:vAlign w:val="bottom"/>
          </w:tcPr>
          <w:p w14:paraId="6126EFE4" w14:textId="3853A24C" w:rsidR="00124BE1" w:rsidRPr="009A6C20" w:rsidRDefault="00124BE1" w:rsidP="008D4784">
            <w:pPr>
              <w:jc w:val="right"/>
              <w:rPr>
                <w:rFonts w:cs="Arial"/>
                <w:szCs w:val="22"/>
              </w:rPr>
            </w:pPr>
            <w:r w:rsidRPr="009A6C20">
              <w:rPr>
                <w:rFonts w:cs="Arial"/>
                <w:szCs w:val="22"/>
              </w:rPr>
              <w:t>104,902,113</w:t>
            </w:r>
          </w:p>
        </w:tc>
      </w:tr>
      <w:tr w:rsidR="00124BE1" w:rsidRPr="009A6C20" w14:paraId="70CFF4A2" w14:textId="77777777" w:rsidTr="0067084F">
        <w:tc>
          <w:tcPr>
            <w:tcW w:w="4928" w:type="dxa"/>
          </w:tcPr>
          <w:p w14:paraId="4718C264" w14:textId="77777777" w:rsidR="008D4784" w:rsidRDefault="00124BE1" w:rsidP="00D14955">
            <w:pPr>
              <w:ind w:left="720"/>
              <w:rPr>
                <w:rFonts w:cs="Arial"/>
                <w:szCs w:val="22"/>
              </w:rPr>
            </w:pPr>
            <w:r w:rsidRPr="009A6C20">
              <w:rPr>
                <w:rFonts w:cs="Arial"/>
                <w:szCs w:val="22"/>
              </w:rPr>
              <w:t xml:space="preserve">Purchase of investment </w:t>
            </w:r>
            <w:r w:rsidR="008D4784">
              <w:rPr>
                <w:rFonts w:cs="Arial"/>
                <w:szCs w:val="22"/>
              </w:rPr>
              <w:t xml:space="preserve">in </w:t>
            </w:r>
          </w:p>
          <w:p w14:paraId="43D7D94B" w14:textId="17928A7A" w:rsidR="008D4784" w:rsidRDefault="008D4784" w:rsidP="00D14955">
            <w:pPr>
              <w:ind w:left="720"/>
              <w:rPr>
                <w:rFonts w:cs="Arial"/>
                <w:szCs w:val="22"/>
              </w:rPr>
            </w:pPr>
            <w:r>
              <w:rPr>
                <w:rFonts w:cs="Arial"/>
                <w:szCs w:val="22"/>
              </w:rPr>
              <w:t>CATCo Reinsurance Fund Ltd. -</w:t>
            </w:r>
            <w:r w:rsidR="00124BE1" w:rsidRPr="009A6C20">
              <w:rPr>
                <w:rFonts w:cs="Arial"/>
                <w:szCs w:val="22"/>
              </w:rPr>
              <w:t xml:space="preserve"> </w:t>
            </w:r>
          </w:p>
          <w:p w14:paraId="370A8AF9" w14:textId="4AB7F5D3" w:rsidR="00124BE1" w:rsidRPr="009A6C20" w:rsidRDefault="00124BE1" w:rsidP="00D14955">
            <w:pPr>
              <w:ind w:left="720"/>
              <w:rPr>
                <w:rFonts w:cs="Arial"/>
                <w:szCs w:val="22"/>
              </w:rPr>
            </w:pPr>
            <w:r w:rsidRPr="009A6C20">
              <w:rPr>
                <w:rFonts w:cs="Arial"/>
                <w:szCs w:val="22"/>
              </w:rPr>
              <w:t>CATCo Diversified Fund</w:t>
            </w:r>
          </w:p>
        </w:tc>
        <w:tc>
          <w:tcPr>
            <w:tcW w:w="2126" w:type="dxa"/>
            <w:vAlign w:val="bottom"/>
          </w:tcPr>
          <w:p w14:paraId="71B99780" w14:textId="58B01118" w:rsidR="00124BE1" w:rsidRPr="009A6C20" w:rsidRDefault="00124BE1" w:rsidP="008D4784">
            <w:pPr>
              <w:jc w:val="right"/>
              <w:rPr>
                <w:rFonts w:cs="Arial"/>
                <w:szCs w:val="22"/>
              </w:rPr>
            </w:pPr>
            <w:r w:rsidRPr="009A6C20">
              <w:rPr>
                <w:rFonts w:cs="Arial"/>
                <w:szCs w:val="22"/>
              </w:rPr>
              <w:t>-</w:t>
            </w:r>
          </w:p>
        </w:tc>
        <w:tc>
          <w:tcPr>
            <w:tcW w:w="1985" w:type="dxa"/>
            <w:vAlign w:val="bottom"/>
          </w:tcPr>
          <w:p w14:paraId="2A8246C1" w14:textId="6204EB09" w:rsidR="00124BE1" w:rsidRPr="009A6C20" w:rsidRDefault="00124BE1" w:rsidP="008D4784">
            <w:pPr>
              <w:jc w:val="right"/>
              <w:rPr>
                <w:rFonts w:cs="Arial"/>
                <w:szCs w:val="22"/>
              </w:rPr>
            </w:pPr>
            <w:r w:rsidRPr="009A6C20">
              <w:rPr>
                <w:rFonts w:cs="Arial"/>
                <w:szCs w:val="22"/>
              </w:rPr>
              <w:t>(10,300,000)</w:t>
            </w:r>
          </w:p>
        </w:tc>
      </w:tr>
      <w:tr w:rsidR="00124BE1" w:rsidRPr="009A6C20" w14:paraId="5A7C721F" w14:textId="77777777" w:rsidTr="0067084F">
        <w:tc>
          <w:tcPr>
            <w:tcW w:w="4928" w:type="dxa"/>
          </w:tcPr>
          <w:p w14:paraId="74E8EA14" w14:textId="77777777" w:rsidR="00124BE1" w:rsidRPr="009A6C20" w:rsidRDefault="00124BE1" w:rsidP="001A1CCD">
            <w:pPr>
              <w:rPr>
                <w:rFonts w:cs="Arial"/>
                <w:szCs w:val="22"/>
              </w:rPr>
            </w:pPr>
          </w:p>
          <w:p w14:paraId="2668EB97" w14:textId="77777777" w:rsidR="00124BE1" w:rsidRPr="009A6C20" w:rsidRDefault="00124BE1" w:rsidP="001A1CCD">
            <w:pPr>
              <w:rPr>
                <w:rFonts w:cs="Arial"/>
                <w:szCs w:val="22"/>
              </w:rPr>
            </w:pPr>
            <w:r w:rsidRPr="009A6C20">
              <w:rPr>
                <w:rFonts w:cs="Arial"/>
                <w:szCs w:val="22"/>
              </w:rPr>
              <w:t>Changes in op</w:t>
            </w:r>
            <w:r>
              <w:rPr>
                <w:rFonts w:cs="Arial"/>
                <w:szCs w:val="22"/>
              </w:rPr>
              <w:t>erating assets and liabilities:</w:t>
            </w:r>
          </w:p>
          <w:p w14:paraId="2222D01B" w14:textId="77777777" w:rsidR="00124BE1" w:rsidRPr="009A6C20" w:rsidRDefault="00124BE1" w:rsidP="001A1CCD">
            <w:pPr>
              <w:rPr>
                <w:rFonts w:cs="Arial"/>
                <w:szCs w:val="22"/>
              </w:rPr>
            </w:pPr>
          </w:p>
        </w:tc>
        <w:tc>
          <w:tcPr>
            <w:tcW w:w="2126" w:type="dxa"/>
          </w:tcPr>
          <w:p w14:paraId="3418B923" w14:textId="77777777" w:rsidR="00124BE1" w:rsidRPr="009A6C20" w:rsidRDefault="00124BE1" w:rsidP="001A1CCD">
            <w:pPr>
              <w:jc w:val="right"/>
              <w:rPr>
                <w:rFonts w:cs="Arial"/>
                <w:szCs w:val="22"/>
              </w:rPr>
            </w:pPr>
          </w:p>
        </w:tc>
        <w:tc>
          <w:tcPr>
            <w:tcW w:w="1985" w:type="dxa"/>
          </w:tcPr>
          <w:p w14:paraId="2C9663E4" w14:textId="77F60487" w:rsidR="00124BE1" w:rsidRPr="009A6C20" w:rsidRDefault="00124BE1" w:rsidP="001A1CCD">
            <w:pPr>
              <w:jc w:val="right"/>
              <w:rPr>
                <w:rFonts w:cs="Arial"/>
                <w:szCs w:val="22"/>
              </w:rPr>
            </w:pPr>
          </w:p>
        </w:tc>
      </w:tr>
      <w:tr w:rsidR="00124BE1" w:rsidRPr="009A6C20" w14:paraId="3B294098" w14:textId="77777777" w:rsidTr="0067084F">
        <w:tc>
          <w:tcPr>
            <w:tcW w:w="4928" w:type="dxa"/>
          </w:tcPr>
          <w:p w14:paraId="7332F7C9" w14:textId="77777777" w:rsidR="00124BE1" w:rsidRPr="009A6C20" w:rsidRDefault="00124BE1" w:rsidP="001A1CCD">
            <w:pPr>
              <w:ind w:left="720"/>
              <w:rPr>
                <w:rFonts w:cs="Arial"/>
                <w:szCs w:val="22"/>
              </w:rPr>
            </w:pPr>
            <w:r w:rsidRPr="009A6C20">
              <w:rPr>
                <w:rFonts w:cs="Arial"/>
                <w:szCs w:val="22"/>
              </w:rPr>
              <w:t>Other assets</w:t>
            </w:r>
          </w:p>
        </w:tc>
        <w:tc>
          <w:tcPr>
            <w:tcW w:w="2126" w:type="dxa"/>
          </w:tcPr>
          <w:p w14:paraId="4DEA21C7" w14:textId="37BE5FD9" w:rsidR="00124BE1" w:rsidRPr="009A6C20" w:rsidRDefault="008D4784" w:rsidP="001A1CCD">
            <w:pPr>
              <w:jc w:val="right"/>
              <w:rPr>
                <w:rFonts w:cs="Arial"/>
                <w:szCs w:val="22"/>
              </w:rPr>
            </w:pPr>
            <w:r>
              <w:rPr>
                <w:rFonts w:cs="Arial"/>
                <w:szCs w:val="22"/>
              </w:rPr>
              <w:t>441</w:t>
            </w:r>
          </w:p>
        </w:tc>
        <w:tc>
          <w:tcPr>
            <w:tcW w:w="1985" w:type="dxa"/>
          </w:tcPr>
          <w:p w14:paraId="0558C2C6" w14:textId="33834490" w:rsidR="00124BE1" w:rsidRPr="009A6C20" w:rsidRDefault="00124BE1" w:rsidP="001A1CCD">
            <w:pPr>
              <w:jc w:val="right"/>
              <w:rPr>
                <w:rFonts w:cs="Arial"/>
                <w:szCs w:val="22"/>
              </w:rPr>
            </w:pPr>
            <w:r w:rsidRPr="009A6C20">
              <w:rPr>
                <w:rFonts w:cs="Arial"/>
                <w:szCs w:val="22"/>
              </w:rPr>
              <w:t>36,466</w:t>
            </w:r>
          </w:p>
        </w:tc>
      </w:tr>
      <w:tr w:rsidR="008D4784" w:rsidRPr="009A6C20" w14:paraId="2E899F2C" w14:textId="77777777" w:rsidTr="0067084F">
        <w:tc>
          <w:tcPr>
            <w:tcW w:w="4928" w:type="dxa"/>
          </w:tcPr>
          <w:p w14:paraId="34983AAC" w14:textId="2D707792" w:rsidR="008D4784" w:rsidRPr="009A6C20" w:rsidRDefault="008D4784" w:rsidP="008D4784">
            <w:pPr>
              <w:ind w:left="720"/>
              <w:rPr>
                <w:rFonts w:cs="Arial"/>
                <w:szCs w:val="22"/>
              </w:rPr>
            </w:pPr>
            <w:r w:rsidRPr="008D4784">
              <w:rPr>
                <w:rFonts w:cs="Arial"/>
                <w:szCs w:val="22"/>
              </w:rPr>
              <w:t xml:space="preserve">Advance subscription in Markel CATCo Reinsurance Fund Ltd. - Markel CATCo Diversified Fund </w:t>
            </w:r>
          </w:p>
        </w:tc>
        <w:tc>
          <w:tcPr>
            <w:tcW w:w="2126" w:type="dxa"/>
            <w:vAlign w:val="bottom"/>
          </w:tcPr>
          <w:p w14:paraId="4F0FB7B8" w14:textId="4EA7E445" w:rsidR="008D4784" w:rsidRDefault="008D4784" w:rsidP="008D4784">
            <w:pPr>
              <w:jc w:val="right"/>
              <w:rPr>
                <w:rFonts w:cs="Arial"/>
                <w:szCs w:val="22"/>
              </w:rPr>
            </w:pPr>
            <w:r>
              <w:rPr>
                <w:rFonts w:cs="Arial"/>
                <w:szCs w:val="22"/>
              </w:rPr>
              <w:t>(88,000,000)</w:t>
            </w:r>
          </w:p>
        </w:tc>
        <w:tc>
          <w:tcPr>
            <w:tcW w:w="1985" w:type="dxa"/>
            <w:vAlign w:val="bottom"/>
          </w:tcPr>
          <w:p w14:paraId="2907E284" w14:textId="19ED08CE" w:rsidR="008D4784" w:rsidRPr="009A6C20" w:rsidRDefault="008D4784" w:rsidP="008D4784">
            <w:pPr>
              <w:jc w:val="right"/>
              <w:rPr>
                <w:rFonts w:cs="Arial"/>
                <w:szCs w:val="22"/>
              </w:rPr>
            </w:pPr>
            <w:r>
              <w:rPr>
                <w:rFonts w:cs="Arial"/>
                <w:szCs w:val="22"/>
              </w:rPr>
              <w:t>-</w:t>
            </w:r>
          </w:p>
        </w:tc>
      </w:tr>
      <w:tr w:rsidR="00124BE1" w:rsidRPr="009A6C20" w14:paraId="42D93D48" w14:textId="77777777" w:rsidTr="0067084F">
        <w:tc>
          <w:tcPr>
            <w:tcW w:w="4928" w:type="dxa"/>
          </w:tcPr>
          <w:p w14:paraId="389FCB08" w14:textId="77777777" w:rsidR="00124BE1" w:rsidRPr="009A6C20" w:rsidRDefault="00124BE1" w:rsidP="001A1CCD">
            <w:pPr>
              <w:ind w:left="720"/>
              <w:rPr>
                <w:rFonts w:cs="Arial"/>
                <w:szCs w:val="22"/>
              </w:rPr>
            </w:pPr>
            <w:r w:rsidRPr="009A6C20">
              <w:rPr>
                <w:rFonts w:cs="Arial"/>
                <w:szCs w:val="22"/>
              </w:rPr>
              <w:t>Accrued expenses and other liabilities</w:t>
            </w:r>
          </w:p>
        </w:tc>
        <w:tc>
          <w:tcPr>
            <w:tcW w:w="2126" w:type="dxa"/>
          </w:tcPr>
          <w:p w14:paraId="7499170A" w14:textId="69A1449A" w:rsidR="00124BE1" w:rsidRPr="009A6C20" w:rsidRDefault="008D4784" w:rsidP="001A1CCD">
            <w:pPr>
              <w:jc w:val="right"/>
              <w:rPr>
                <w:rFonts w:cs="Arial"/>
                <w:szCs w:val="22"/>
              </w:rPr>
            </w:pPr>
            <w:r>
              <w:rPr>
                <w:rFonts w:cs="Arial"/>
                <w:szCs w:val="22"/>
              </w:rPr>
              <w:t>71,728</w:t>
            </w:r>
          </w:p>
        </w:tc>
        <w:tc>
          <w:tcPr>
            <w:tcW w:w="1985" w:type="dxa"/>
          </w:tcPr>
          <w:p w14:paraId="653CB424" w14:textId="2A1EA47D" w:rsidR="00124BE1" w:rsidRPr="009A6C20" w:rsidRDefault="00124BE1" w:rsidP="001A1CCD">
            <w:pPr>
              <w:jc w:val="right"/>
              <w:rPr>
                <w:rFonts w:cs="Arial"/>
                <w:szCs w:val="22"/>
              </w:rPr>
            </w:pPr>
            <w:r w:rsidRPr="009A6C20">
              <w:rPr>
                <w:rFonts w:cs="Arial"/>
                <w:szCs w:val="22"/>
              </w:rPr>
              <w:t>61,273</w:t>
            </w:r>
          </w:p>
        </w:tc>
      </w:tr>
      <w:tr w:rsidR="00124BE1" w:rsidRPr="009A6C20" w14:paraId="1000AD3F" w14:textId="77777777" w:rsidTr="0067084F">
        <w:tc>
          <w:tcPr>
            <w:tcW w:w="4928" w:type="dxa"/>
          </w:tcPr>
          <w:p w14:paraId="2310BE76" w14:textId="77777777" w:rsidR="00124BE1" w:rsidRPr="009A6C20" w:rsidRDefault="00124BE1" w:rsidP="001A1CCD">
            <w:pPr>
              <w:ind w:left="720"/>
              <w:rPr>
                <w:rFonts w:cs="Arial"/>
                <w:szCs w:val="22"/>
              </w:rPr>
            </w:pPr>
            <w:r w:rsidRPr="009A6C20">
              <w:rPr>
                <w:rFonts w:cs="Arial"/>
                <w:szCs w:val="22"/>
              </w:rPr>
              <w:t>Management fee payable</w:t>
            </w:r>
            <w:r w:rsidRPr="009A6C20">
              <w:rPr>
                <w:rFonts w:cs="Arial"/>
                <w:szCs w:val="22"/>
              </w:rPr>
              <w:tab/>
            </w:r>
          </w:p>
        </w:tc>
        <w:tc>
          <w:tcPr>
            <w:tcW w:w="2126" w:type="dxa"/>
          </w:tcPr>
          <w:p w14:paraId="4F73ACC4" w14:textId="08971DEB" w:rsidR="00124BE1" w:rsidRPr="009A6C20" w:rsidRDefault="008D4784" w:rsidP="00591815">
            <w:pPr>
              <w:jc w:val="right"/>
              <w:rPr>
                <w:rFonts w:cs="Arial"/>
                <w:szCs w:val="22"/>
              </w:rPr>
            </w:pPr>
            <w:r>
              <w:rPr>
                <w:rFonts w:cs="Arial"/>
                <w:szCs w:val="22"/>
              </w:rPr>
              <w:t>-</w:t>
            </w:r>
          </w:p>
        </w:tc>
        <w:tc>
          <w:tcPr>
            <w:tcW w:w="1985" w:type="dxa"/>
          </w:tcPr>
          <w:p w14:paraId="54677D66" w14:textId="3015CD59" w:rsidR="00124BE1" w:rsidRPr="009A6C20" w:rsidRDefault="00124BE1" w:rsidP="00591815">
            <w:pPr>
              <w:jc w:val="right"/>
              <w:rPr>
                <w:rFonts w:cs="Arial"/>
                <w:szCs w:val="22"/>
              </w:rPr>
            </w:pPr>
            <w:r w:rsidRPr="009A6C20">
              <w:rPr>
                <w:rFonts w:cs="Arial"/>
                <w:szCs w:val="22"/>
              </w:rPr>
              <w:t>(254)</w:t>
            </w:r>
          </w:p>
        </w:tc>
      </w:tr>
      <w:tr w:rsidR="00124BE1" w:rsidRPr="009A6C20" w14:paraId="5E32A43E" w14:textId="77777777" w:rsidTr="0067084F">
        <w:tc>
          <w:tcPr>
            <w:tcW w:w="4928" w:type="dxa"/>
          </w:tcPr>
          <w:p w14:paraId="05030E4D" w14:textId="77777777" w:rsidR="00124BE1" w:rsidRPr="009A6C20" w:rsidRDefault="00124BE1" w:rsidP="001A1CCD">
            <w:pPr>
              <w:ind w:left="720"/>
              <w:rPr>
                <w:rFonts w:cs="Arial"/>
                <w:szCs w:val="22"/>
              </w:rPr>
            </w:pPr>
          </w:p>
        </w:tc>
        <w:tc>
          <w:tcPr>
            <w:tcW w:w="2126" w:type="dxa"/>
          </w:tcPr>
          <w:p w14:paraId="5C91B72C" w14:textId="77777777" w:rsidR="00124BE1" w:rsidRPr="009A6C20" w:rsidRDefault="00124BE1" w:rsidP="001A1CCD">
            <w:pPr>
              <w:jc w:val="right"/>
              <w:rPr>
                <w:rFonts w:cs="Arial"/>
                <w:szCs w:val="22"/>
              </w:rPr>
            </w:pPr>
          </w:p>
        </w:tc>
        <w:tc>
          <w:tcPr>
            <w:tcW w:w="1985" w:type="dxa"/>
          </w:tcPr>
          <w:p w14:paraId="61484D3A" w14:textId="23B7C873" w:rsidR="00124BE1" w:rsidRPr="009A6C20" w:rsidRDefault="00124BE1" w:rsidP="001A1CCD">
            <w:pPr>
              <w:jc w:val="right"/>
              <w:rPr>
                <w:rFonts w:cs="Arial"/>
                <w:szCs w:val="22"/>
              </w:rPr>
            </w:pPr>
          </w:p>
        </w:tc>
      </w:tr>
      <w:tr w:rsidR="00124BE1" w:rsidRPr="009A6C20" w14:paraId="06B551BC" w14:textId="77777777" w:rsidTr="0067084F">
        <w:tc>
          <w:tcPr>
            <w:tcW w:w="4928" w:type="dxa"/>
          </w:tcPr>
          <w:p w14:paraId="57D3B404" w14:textId="77777777" w:rsidR="00124BE1" w:rsidRPr="009A6C20" w:rsidRDefault="00124BE1" w:rsidP="001A1CCD">
            <w:pPr>
              <w:ind w:left="720"/>
              <w:rPr>
                <w:rFonts w:cs="Arial"/>
                <w:szCs w:val="22"/>
              </w:rPr>
            </w:pPr>
          </w:p>
        </w:tc>
        <w:tc>
          <w:tcPr>
            <w:tcW w:w="2126" w:type="dxa"/>
          </w:tcPr>
          <w:p w14:paraId="207A8155" w14:textId="77777777" w:rsidR="00124BE1" w:rsidRPr="009A6C20" w:rsidRDefault="00124BE1" w:rsidP="001A1CCD">
            <w:pPr>
              <w:jc w:val="right"/>
              <w:rPr>
                <w:rFonts w:cs="Arial"/>
                <w:szCs w:val="22"/>
              </w:rPr>
            </w:pPr>
          </w:p>
        </w:tc>
        <w:tc>
          <w:tcPr>
            <w:tcW w:w="1985" w:type="dxa"/>
          </w:tcPr>
          <w:p w14:paraId="6FADE0F5" w14:textId="5D2CF331" w:rsidR="00124BE1" w:rsidRPr="009A6C20" w:rsidRDefault="00124BE1" w:rsidP="001A1CCD">
            <w:pPr>
              <w:jc w:val="right"/>
              <w:rPr>
                <w:rFonts w:cs="Arial"/>
                <w:szCs w:val="22"/>
              </w:rPr>
            </w:pPr>
          </w:p>
        </w:tc>
      </w:tr>
      <w:tr w:rsidR="00124BE1" w:rsidRPr="009A6C20" w14:paraId="0018B9D0" w14:textId="77777777" w:rsidTr="0067084F">
        <w:tc>
          <w:tcPr>
            <w:tcW w:w="4928" w:type="dxa"/>
          </w:tcPr>
          <w:p w14:paraId="750D522A" w14:textId="3577833B" w:rsidR="00124BE1" w:rsidRPr="009A6C20" w:rsidRDefault="00124BE1" w:rsidP="001A1CCD">
            <w:pPr>
              <w:rPr>
                <w:rFonts w:cs="Arial"/>
                <w:szCs w:val="22"/>
              </w:rPr>
            </w:pPr>
            <w:r w:rsidRPr="009A6C20">
              <w:rPr>
                <w:rFonts w:cs="Arial"/>
                <w:b/>
                <w:szCs w:val="22"/>
              </w:rPr>
              <w:t xml:space="preserve">Net cash </w:t>
            </w:r>
            <w:r w:rsidR="008D4784">
              <w:rPr>
                <w:rFonts w:cs="Arial"/>
                <w:b/>
                <w:szCs w:val="22"/>
              </w:rPr>
              <w:t>(used in)/</w:t>
            </w:r>
            <w:r w:rsidRPr="009A6C20">
              <w:rPr>
                <w:rFonts w:cs="Arial"/>
                <w:b/>
                <w:szCs w:val="22"/>
              </w:rPr>
              <w:t>provided by operating activities</w:t>
            </w:r>
          </w:p>
        </w:tc>
        <w:tc>
          <w:tcPr>
            <w:tcW w:w="2126" w:type="dxa"/>
            <w:vAlign w:val="bottom"/>
          </w:tcPr>
          <w:p w14:paraId="6F5254F4" w14:textId="1A5BDEAE" w:rsidR="00124BE1" w:rsidRPr="009A6C20" w:rsidRDefault="008D4784" w:rsidP="008D4784">
            <w:pPr>
              <w:jc w:val="right"/>
              <w:rPr>
                <w:rFonts w:cs="Arial"/>
                <w:szCs w:val="22"/>
              </w:rPr>
            </w:pPr>
            <w:r>
              <w:rPr>
                <w:rFonts w:cs="Arial"/>
                <w:szCs w:val="22"/>
              </w:rPr>
              <w:t>(35,268,695)</w:t>
            </w:r>
          </w:p>
        </w:tc>
        <w:tc>
          <w:tcPr>
            <w:tcW w:w="1985" w:type="dxa"/>
            <w:vAlign w:val="bottom"/>
          </w:tcPr>
          <w:p w14:paraId="1B16104B" w14:textId="16C06E40" w:rsidR="00124BE1" w:rsidRPr="009A6C20" w:rsidRDefault="00124BE1" w:rsidP="008D4784">
            <w:pPr>
              <w:jc w:val="right"/>
              <w:rPr>
                <w:rFonts w:cs="Arial"/>
                <w:szCs w:val="22"/>
              </w:rPr>
            </w:pPr>
            <w:r w:rsidRPr="009A6C20">
              <w:rPr>
                <w:rFonts w:cs="Arial"/>
                <w:szCs w:val="22"/>
              </w:rPr>
              <w:t>92,977,282</w:t>
            </w:r>
          </w:p>
        </w:tc>
      </w:tr>
      <w:tr w:rsidR="00124BE1" w:rsidRPr="009A6C20" w14:paraId="56F8E463" w14:textId="77777777" w:rsidTr="0067084F">
        <w:tc>
          <w:tcPr>
            <w:tcW w:w="4928" w:type="dxa"/>
          </w:tcPr>
          <w:p w14:paraId="4F9D0CB2" w14:textId="77777777" w:rsidR="00124BE1" w:rsidRPr="009A6C20" w:rsidRDefault="00124BE1" w:rsidP="001A1CCD">
            <w:pPr>
              <w:rPr>
                <w:rFonts w:cs="Arial"/>
                <w:b/>
                <w:szCs w:val="22"/>
              </w:rPr>
            </w:pPr>
          </w:p>
        </w:tc>
        <w:tc>
          <w:tcPr>
            <w:tcW w:w="2126" w:type="dxa"/>
          </w:tcPr>
          <w:p w14:paraId="323C5F65" w14:textId="77777777" w:rsidR="00124BE1" w:rsidRPr="009A6C20" w:rsidRDefault="00124BE1" w:rsidP="001A1CCD">
            <w:pPr>
              <w:jc w:val="right"/>
              <w:rPr>
                <w:rFonts w:cs="Arial"/>
                <w:szCs w:val="22"/>
              </w:rPr>
            </w:pPr>
          </w:p>
        </w:tc>
        <w:tc>
          <w:tcPr>
            <w:tcW w:w="1985" w:type="dxa"/>
          </w:tcPr>
          <w:p w14:paraId="56FCE1FB" w14:textId="44920E53" w:rsidR="00124BE1" w:rsidRPr="009A6C20" w:rsidRDefault="00124BE1" w:rsidP="001A1CCD">
            <w:pPr>
              <w:jc w:val="right"/>
              <w:rPr>
                <w:rFonts w:cs="Arial"/>
                <w:szCs w:val="22"/>
              </w:rPr>
            </w:pPr>
          </w:p>
        </w:tc>
      </w:tr>
      <w:tr w:rsidR="00124BE1" w:rsidRPr="009A6C20" w14:paraId="36B546BC" w14:textId="77777777" w:rsidTr="0067084F">
        <w:tc>
          <w:tcPr>
            <w:tcW w:w="4928" w:type="dxa"/>
          </w:tcPr>
          <w:p w14:paraId="255E86CE" w14:textId="77777777" w:rsidR="00124BE1" w:rsidRPr="009A6C20" w:rsidRDefault="00124BE1" w:rsidP="001A1CCD">
            <w:pPr>
              <w:rPr>
                <w:rFonts w:cs="Arial"/>
                <w:b/>
                <w:szCs w:val="22"/>
              </w:rPr>
            </w:pPr>
          </w:p>
        </w:tc>
        <w:tc>
          <w:tcPr>
            <w:tcW w:w="2126" w:type="dxa"/>
          </w:tcPr>
          <w:p w14:paraId="7C69222D" w14:textId="77777777" w:rsidR="00124BE1" w:rsidRPr="009A6C20" w:rsidRDefault="00124BE1" w:rsidP="001A1CCD">
            <w:pPr>
              <w:jc w:val="right"/>
              <w:rPr>
                <w:rFonts w:cs="Arial"/>
                <w:szCs w:val="22"/>
              </w:rPr>
            </w:pPr>
          </w:p>
        </w:tc>
        <w:tc>
          <w:tcPr>
            <w:tcW w:w="1985" w:type="dxa"/>
          </w:tcPr>
          <w:p w14:paraId="36664256" w14:textId="512465FB" w:rsidR="00124BE1" w:rsidRPr="009A6C20" w:rsidRDefault="00124BE1" w:rsidP="001A1CCD">
            <w:pPr>
              <w:jc w:val="right"/>
              <w:rPr>
                <w:rFonts w:cs="Arial"/>
                <w:szCs w:val="22"/>
              </w:rPr>
            </w:pPr>
          </w:p>
        </w:tc>
      </w:tr>
      <w:tr w:rsidR="00124BE1" w:rsidRPr="009A6C20" w14:paraId="34D0943B" w14:textId="77777777" w:rsidTr="0067084F">
        <w:tc>
          <w:tcPr>
            <w:tcW w:w="4928" w:type="dxa"/>
          </w:tcPr>
          <w:p w14:paraId="636772A3" w14:textId="77777777" w:rsidR="00124BE1" w:rsidRPr="009A6C20" w:rsidRDefault="00124BE1" w:rsidP="001A1CCD">
            <w:pPr>
              <w:rPr>
                <w:rFonts w:cs="Arial"/>
                <w:b/>
                <w:szCs w:val="22"/>
              </w:rPr>
            </w:pPr>
            <w:r w:rsidRPr="009A6C20">
              <w:rPr>
                <w:rFonts w:cs="Arial"/>
                <w:b/>
                <w:szCs w:val="22"/>
              </w:rPr>
              <w:t>Cash flows from financing activities</w:t>
            </w:r>
          </w:p>
        </w:tc>
        <w:tc>
          <w:tcPr>
            <w:tcW w:w="2126" w:type="dxa"/>
          </w:tcPr>
          <w:p w14:paraId="07F7241E" w14:textId="77777777" w:rsidR="00124BE1" w:rsidRPr="009A6C20" w:rsidRDefault="00124BE1" w:rsidP="001A1CCD">
            <w:pPr>
              <w:jc w:val="right"/>
              <w:rPr>
                <w:rFonts w:cs="Arial"/>
                <w:szCs w:val="22"/>
              </w:rPr>
            </w:pPr>
          </w:p>
        </w:tc>
        <w:tc>
          <w:tcPr>
            <w:tcW w:w="1985" w:type="dxa"/>
          </w:tcPr>
          <w:p w14:paraId="12A5B6FA" w14:textId="685109F0" w:rsidR="00124BE1" w:rsidRPr="009A6C20" w:rsidRDefault="00124BE1" w:rsidP="001A1CCD">
            <w:pPr>
              <w:jc w:val="right"/>
              <w:rPr>
                <w:rFonts w:cs="Arial"/>
                <w:szCs w:val="22"/>
              </w:rPr>
            </w:pPr>
          </w:p>
        </w:tc>
      </w:tr>
      <w:tr w:rsidR="008D4784" w:rsidRPr="009A6C20" w14:paraId="285FB7C3" w14:textId="77777777" w:rsidTr="0067084F">
        <w:tc>
          <w:tcPr>
            <w:tcW w:w="4928" w:type="dxa"/>
            <w:vAlign w:val="bottom"/>
          </w:tcPr>
          <w:p w14:paraId="666102C0" w14:textId="2FAA77DD" w:rsidR="008D4784" w:rsidRPr="008D4784" w:rsidRDefault="008D4784" w:rsidP="008D4784">
            <w:pPr>
              <w:rPr>
                <w:rFonts w:cs="Arial"/>
                <w:szCs w:val="22"/>
              </w:rPr>
            </w:pPr>
            <w:r w:rsidRPr="008D4784">
              <w:rPr>
                <w:rFonts w:cs="Arial"/>
                <w:szCs w:val="22"/>
              </w:rPr>
              <w:t xml:space="preserve">Issuance of Class C Shares </w:t>
            </w:r>
          </w:p>
        </w:tc>
        <w:tc>
          <w:tcPr>
            <w:tcW w:w="2126" w:type="dxa"/>
            <w:vAlign w:val="bottom"/>
          </w:tcPr>
          <w:p w14:paraId="32B37A42" w14:textId="14BF385B" w:rsidR="008D4784" w:rsidRPr="008D4784" w:rsidRDefault="008D4784" w:rsidP="008D4784">
            <w:pPr>
              <w:jc w:val="right"/>
              <w:rPr>
                <w:rFonts w:cs="Arial"/>
                <w:szCs w:val="22"/>
              </w:rPr>
            </w:pPr>
            <w:r w:rsidRPr="008D4784">
              <w:rPr>
                <w:rFonts w:cs="Arial"/>
                <w:szCs w:val="22"/>
              </w:rPr>
              <w:t>91,838,761</w:t>
            </w:r>
          </w:p>
        </w:tc>
        <w:tc>
          <w:tcPr>
            <w:tcW w:w="1985" w:type="dxa"/>
          </w:tcPr>
          <w:p w14:paraId="2A660F25" w14:textId="39C515AE" w:rsidR="008D4784" w:rsidRPr="009A6C20" w:rsidRDefault="008D4784" w:rsidP="00591815">
            <w:pPr>
              <w:jc w:val="right"/>
              <w:rPr>
                <w:rFonts w:cs="Arial"/>
                <w:szCs w:val="22"/>
              </w:rPr>
            </w:pPr>
            <w:r>
              <w:rPr>
                <w:rFonts w:cs="Arial"/>
                <w:szCs w:val="22"/>
              </w:rPr>
              <w:t>-</w:t>
            </w:r>
          </w:p>
        </w:tc>
      </w:tr>
      <w:tr w:rsidR="00124BE1" w:rsidRPr="009A6C20" w14:paraId="3D89FED1" w14:textId="77777777" w:rsidTr="0067084F">
        <w:tc>
          <w:tcPr>
            <w:tcW w:w="4928" w:type="dxa"/>
          </w:tcPr>
          <w:p w14:paraId="40D360E4" w14:textId="432FC1F8" w:rsidR="00124BE1" w:rsidRPr="009A6C20" w:rsidRDefault="008D4784" w:rsidP="001A1CCD">
            <w:pPr>
              <w:rPr>
                <w:rFonts w:cs="Arial"/>
                <w:b/>
                <w:szCs w:val="22"/>
              </w:rPr>
            </w:pPr>
            <w:r>
              <w:rPr>
                <w:rFonts w:cs="Arial"/>
                <w:szCs w:val="22"/>
              </w:rPr>
              <w:t>Dividend</w:t>
            </w:r>
            <w:r w:rsidR="00124BE1" w:rsidRPr="009A6C20">
              <w:rPr>
                <w:rFonts w:cs="Arial"/>
                <w:szCs w:val="22"/>
              </w:rPr>
              <w:t xml:space="preserve"> paid</w:t>
            </w:r>
            <w:r w:rsidR="00124BE1" w:rsidRPr="009A6C20">
              <w:rPr>
                <w:rFonts w:cs="Arial"/>
                <w:szCs w:val="22"/>
              </w:rPr>
              <w:tab/>
            </w:r>
          </w:p>
        </w:tc>
        <w:tc>
          <w:tcPr>
            <w:tcW w:w="2126" w:type="dxa"/>
          </w:tcPr>
          <w:p w14:paraId="1006C6D1" w14:textId="68FA4BCE" w:rsidR="00124BE1" w:rsidRPr="009A6C20" w:rsidRDefault="00124BE1" w:rsidP="008D4784">
            <w:pPr>
              <w:jc w:val="right"/>
              <w:rPr>
                <w:rFonts w:cs="Arial"/>
                <w:szCs w:val="22"/>
              </w:rPr>
            </w:pPr>
            <w:r w:rsidRPr="009A6C20">
              <w:rPr>
                <w:rFonts w:cs="Arial"/>
                <w:szCs w:val="22"/>
              </w:rPr>
              <w:t>(</w:t>
            </w:r>
            <w:r w:rsidR="008D4784">
              <w:rPr>
                <w:rFonts w:cs="Arial"/>
                <w:szCs w:val="22"/>
              </w:rPr>
              <w:t>17,999,434</w:t>
            </w:r>
            <w:r w:rsidRPr="009A6C20">
              <w:rPr>
                <w:rFonts w:cs="Arial"/>
                <w:szCs w:val="22"/>
              </w:rPr>
              <w:t>)</w:t>
            </w:r>
          </w:p>
        </w:tc>
        <w:tc>
          <w:tcPr>
            <w:tcW w:w="1985" w:type="dxa"/>
          </w:tcPr>
          <w:p w14:paraId="0838F348" w14:textId="2F3143E7" w:rsidR="00124BE1" w:rsidRPr="009A6C20" w:rsidRDefault="00124BE1" w:rsidP="00591815">
            <w:pPr>
              <w:jc w:val="right"/>
              <w:rPr>
                <w:rFonts w:cs="Arial"/>
                <w:szCs w:val="22"/>
              </w:rPr>
            </w:pPr>
            <w:r w:rsidRPr="009A6C20">
              <w:rPr>
                <w:rFonts w:cs="Arial"/>
                <w:szCs w:val="22"/>
              </w:rPr>
              <w:t>(23,748,656)</w:t>
            </w:r>
          </w:p>
        </w:tc>
      </w:tr>
      <w:tr w:rsidR="00124BE1" w:rsidRPr="009A6C20" w14:paraId="04D76ACF" w14:textId="77777777" w:rsidTr="0067084F">
        <w:tc>
          <w:tcPr>
            <w:tcW w:w="4928" w:type="dxa"/>
          </w:tcPr>
          <w:p w14:paraId="7201627A" w14:textId="77777777" w:rsidR="00124BE1" w:rsidRPr="009A6C20" w:rsidRDefault="00124BE1" w:rsidP="001A1CCD">
            <w:pPr>
              <w:rPr>
                <w:rFonts w:cs="Arial"/>
                <w:szCs w:val="22"/>
              </w:rPr>
            </w:pPr>
            <w:r w:rsidRPr="009A6C20">
              <w:rPr>
                <w:rFonts w:cs="Arial"/>
                <w:szCs w:val="22"/>
              </w:rPr>
              <w:t>Return of value distribution paid</w:t>
            </w:r>
          </w:p>
        </w:tc>
        <w:tc>
          <w:tcPr>
            <w:tcW w:w="2126" w:type="dxa"/>
          </w:tcPr>
          <w:p w14:paraId="556844C8" w14:textId="4B38FF8C" w:rsidR="00124BE1" w:rsidRPr="009A6C20" w:rsidRDefault="008D4784" w:rsidP="001A1CCD">
            <w:pPr>
              <w:jc w:val="right"/>
              <w:rPr>
                <w:rFonts w:cs="Arial"/>
                <w:szCs w:val="22"/>
              </w:rPr>
            </w:pPr>
            <w:r>
              <w:rPr>
                <w:rFonts w:cs="Arial"/>
                <w:szCs w:val="22"/>
              </w:rPr>
              <w:t>(34,997,045)</w:t>
            </w:r>
          </w:p>
        </w:tc>
        <w:tc>
          <w:tcPr>
            <w:tcW w:w="1985" w:type="dxa"/>
          </w:tcPr>
          <w:p w14:paraId="3A2BD842" w14:textId="6F0607DB" w:rsidR="00124BE1" w:rsidRPr="009A6C20" w:rsidRDefault="00124BE1" w:rsidP="001A1CCD">
            <w:pPr>
              <w:jc w:val="right"/>
              <w:rPr>
                <w:rFonts w:cs="Arial"/>
                <w:szCs w:val="22"/>
              </w:rPr>
            </w:pPr>
            <w:r w:rsidRPr="009A6C20">
              <w:rPr>
                <w:rFonts w:cs="Arial"/>
                <w:szCs w:val="22"/>
              </w:rPr>
              <w:t>(63,536,808)</w:t>
            </w:r>
          </w:p>
        </w:tc>
      </w:tr>
      <w:tr w:rsidR="008D4784" w:rsidRPr="009A6C20" w14:paraId="40AF3C7F" w14:textId="77777777" w:rsidTr="0067084F">
        <w:tc>
          <w:tcPr>
            <w:tcW w:w="4928" w:type="dxa"/>
          </w:tcPr>
          <w:p w14:paraId="5DD4840D" w14:textId="1DB0B240" w:rsidR="008D4784" w:rsidRPr="009A6C20" w:rsidRDefault="008D4784" w:rsidP="001A1CCD">
            <w:pPr>
              <w:rPr>
                <w:rFonts w:cs="Arial"/>
                <w:szCs w:val="22"/>
              </w:rPr>
            </w:pPr>
            <w:r>
              <w:rPr>
                <w:rFonts w:cs="Arial"/>
                <w:szCs w:val="22"/>
              </w:rPr>
              <w:t>Offering costs</w:t>
            </w:r>
          </w:p>
        </w:tc>
        <w:tc>
          <w:tcPr>
            <w:tcW w:w="2126" w:type="dxa"/>
          </w:tcPr>
          <w:p w14:paraId="3CDABC11" w14:textId="1EB2FA1F" w:rsidR="008D4784" w:rsidRPr="009A6C20" w:rsidRDefault="008D4784" w:rsidP="001A1CCD">
            <w:pPr>
              <w:jc w:val="right"/>
              <w:rPr>
                <w:rFonts w:cs="Arial"/>
                <w:szCs w:val="22"/>
              </w:rPr>
            </w:pPr>
            <w:r>
              <w:rPr>
                <w:rFonts w:cs="Arial"/>
                <w:szCs w:val="22"/>
              </w:rPr>
              <w:t>(1,840,444)</w:t>
            </w:r>
          </w:p>
        </w:tc>
        <w:tc>
          <w:tcPr>
            <w:tcW w:w="1985" w:type="dxa"/>
          </w:tcPr>
          <w:p w14:paraId="2E6DADBF" w14:textId="53324BEE" w:rsidR="008D4784" w:rsidRPr="009A6C20" w:rsidRDefault="008D4784" w:rsidP="001A1CCD">
            <w:pPr>
              <w:jc w:val="right"/>
              <w:rPr>
                <w:rFonts w:cs="Arial"/>
                <w:szCs w:val="22"/>
              </w:rPr>
            </w:pPr>
            <w:r>
              <w:rPr>
                <w:rFonts w:cs="Arial"/>
                <w:szCs w:val="22"/>
              </w:rPr>
              <w:t>-</w:t>
            </w:r>
          </w:p>
        </w:tc>
      </w:tr>
      <w:tr w:rsidR="00124BE1" w:rsidRPr="009A6C20" w14:paraId="2C78B7FC" w14:textId="77777777" w:rsidTr="0067084F">
        <w:tc>
          <w:tcPr>
            <w:tcW w:w="4928" w:type="dxa"/>
          </w:tcPr>
          <w:p w14:paraId="57294038" w14:textId="77777777" w:rsidR="00124BE1" w:rsidRPr="009A6C20" w:rsidRDefault="00124BE1" w:rsidP="001A1CCD">
            <w:pPr>
              <w:rPr>
                <w:rFonts w:cs="Arial"/>
                <w:szCs w:val="22"/>
              </w:rPr>
            </w:pPr>
            <w:r w:rsidRPr="009A6C20">
              <w:rPr>
                <w:rFonts w:cs="Arial"/>
                <w:szCs w:val="22"/>
              </w:rPr>
              <w:t>Share buyback</w:t>
            </w:r>
          </w:p>
        </w:tc>
        <w:tc>
          <w:tcPr>
            <w:tcW w:w="2126" w:type="dxa"/>
          </w:tcPr>
          <w:p w14:paraId="1DBCDBD7" w14:textId="3AA74C60" w:rsidR="00124BE1" w:rsidRPr="009A6C20" w:rsidRDefault="00124BE1" w:rsidP="001A1CCD">
            <w:pPr>
              <w:jc w:val="right"/>
              <w:rPr>
                <w:rFonts w:cs="Arial"/>
                <w:szCs w:val="22"/>
              </w:rPr>
            </w:pPr>
            <w:r w:rsidRPr="009A6C20">
              <w:rPr>
                <w:rFonts w:cs="Arial"/>
                <w:szCs w:val="22"/>
              </w:rPr>
              <w:t>-</w:t>
            </w:r>
          </w:p>
        </w:tc>
        <w:tc>
          <w:tcPr>
            <w:tcW w:w="1985" w:type="dxa"/>
          </w:tcPr>
          <w:p w14:paraId="649186F3" w14:textId="1C239FF9" w:rsidR="00124BE1" w:rsidRPr="009A6C20" w:rsidRDefault="00124BE1" w:rsidP="001A1CCD">
            <w:pPr>
              <w:jc w:val="right"/>
              <w:rPr>
                <w:rFonts w:cs="Arial"/>
                <w:szCs w:val="22"/>
              </w:rPr>
            </w:pPr>
            <w:r w:rsidRPr="009A6C20">
              <w:rPr>
                <w:rFonts w:cs="Arial"/>
                <w:szCs w:val="22"/>
              </w:rPr>
              <w:t>(5,871,713)</w:t>
            </w:r>
          </w:p>
        </w:tc>
      </w:tr>
      <w:tr w:rsidR="00124BE1" w:rsidRPr="009A6C20" w14:paraId="77755CE7" w14:textId="77777777" w:rsidTr="0067084F">
        <w:tc>
          <w:tcPr>
            <w:tcW w:w="4928" w:type="dxa"/>
          </w:tcPr>
          <w:p w14:paraId="2E37123E" w14:textId="77777777" w:rsidR="00124BE1" w:rsidRPr="009A6C20" w:rsidRDefault="00124BE1" w:rsidP="001A1CCD">
            <w:pPr>
              <w:rPr>
                <w:rFonts w:cs="Arial"/>
                <w:szCs w:val="22"/>
              </w:rPr>
            </w:pPr>
          </w:p>
        </w:tc>
        <w:tc>
          <w:tcPr>
            <w:tcW w:w="2126" w:type="dxa"/>
          </w:tcPr>
          <w:p w14:paraId="53F99905" w14:textId="77777777" w:rsidR="00124BE1" w:rsidRPr="009A6C20" w:rsidRDefault="00124BE1" w:rsidP="001A1CCD">
            <w:pPr>
              <w:jc w:val="right"/>
              <w:rPr>
                <w:rFonts w:cs="Arial"/>
                <w:szCs w:val="22"/>
              </w:rPr>
            </w:pPr>
          </w:p>
        </w:tc>
        <w:tc>
          <w:tcPr>
            <w:tcW w:w="1985" w:type="dxa"/>
          </w:tcPr>
          <w:p w14:paraId="11C3AA3F" w14:textId="714A8C69" w:rsidR="00124BE1" w:rsidRPr="009A6C20" w:rsidRDefault="00124BE1" w:rsidP="001A1CCD">
            <w:pPr>
              <w:jc w:val="right"/>
              <w:rPr>
                <w:rFonts w:cs="Arial"/>
                <w:szCs w:val="22"/>
              </w:rPr>
            </w:pPr>
          </w:p>
        </w:tc>
      </w:tr>
      <w:tr w:rsidR="00124BE1" w:rsidRPr="009A6C20" w14:paraId="14BFA099" w14:textId="77777777" w:rsidTr="0067084F">
        <w:tc>
          <w:tcPr>
            <w:tcW w:w="4928" w:type="dxa"/>
          </w:tcPr>
          <w:p w14:paraId="6C7A1043" w14:textId="19A1E1D6" w:rsidR="00124BE1" w:rsidRPr="009A6C20" w:rsidRDefault="00124BE1">
            <w:pPr>
              <w:rPr>
                <w:rFonts w:cs="Arial"/>
                <w:sz w:val="22"/>
                <w:szCs w:val="22"/>
              </w:rPr>
            </w:pPr>
            <w:r w:rsidRPr="009A6C20">
              <w:rPr>
                <w:rFonts w:cs="Arial"/>
                <w:b/>
                <w:szCs w:val="22"/>
              </w:rPr>
              <w:t xml:space="preserve">Net cash </w:t>
            </w:r>
            <w:r w:rsidR="008D4784">
              <w:rPr>
                <w:rFonts w:cs="Arial"/>
                <w:b/>
                <w:szCs w:val="22"/>
              </w:rPr>
              <w:t>provided by/(</w:t>
            </w:r>
            <w:r w:rsidRPr="009A6C20">
              <w:rPr>
                <w:rFonts w:cs="Arial"/>
                <w:b/>
                <w:szCs w:val="22"/>
              </w:rPr>
              <w:t>used in</w:t>
            </w:r>
            <w:r w:rsidR="008D4784">
              <w:rPr>
                <w:rFonts w:cs="Arial"/>
                <w:b/>
                <w:szCs w:val="22"/>
              </w:rPr>
              <w:t>)</w:t>
            </w:r>
            <w:r w:rsidRPr="009A6C20">
              <w:rPr>
                <w:rFonts w:cs="Arial"/>
                <w:b/>
                <w:szCs w:val="22"/>
              </w:rPr>
              <w:t xml:space="preserve"> financing activities</w:t>
            </w:r>
          </w:p>
        </w:tc>
        <w:tc>
          <w:tcPr>
            <w:tcW w:w="2126" w:type="dxa"/>
            <w:vAlign w:val="bottom"/>
          </w:tcPr>
          <w:p w14:paraId="522798C5" w14:textId="02B66623" w:rsidR="00124BE1" w:rsidRPr="009A6C20" w:rsidRDefault="00EF0C9C" w:rsidP="00EF0C9C">
            <w:pPr>
              <w:jc w:val="right"/>
              <w:rPr>
                <w:rFonts w:cs="Arial"/>
                <w:szCs w:val="22"/>
              </w:rPr>
            </w:pPr>
            <w:r>
              <w:rPr>
                <w:rFonts w:cs="Arial"/>
                <w:szCs w:val="22"/>
              </w:rPr>
              <w:t>37,001,838</w:t>
            </w:r>
          </w:p>
        </w:tc>
        <w:tc>
          <w:tcPr>
            <w:tcW w:w="1985" w:type="dxa"/>
            <w:vAlign w:val="bottom"/>
          </w:tcPr>
          <w:p w14:paraId="21CECE68" w14:textId="29703ED7" w:rsidR="00124BE1" w:rsidRPr="009A6C20" w:rsidRDefault="00124BE1" w:rsidP="00EF0C9C">
            <w:pPr>
              <w:jc w:val="right"/>
              <w:rPr>
                <w:rFonts w:cs="Arial"/>
                <w:szCs w:val="22"/>
              </w:rPr>
            </w:pPr>
            <w:r w:rsidRPr="009A6C20">
              <w:rPr>
                <w:rFonts w:cs="Arial"/>
                <w:szCs w:val="22"/>
              </w:rPr>
              <w:t>(93,157,177)</w:t>
            </w:r>
          </w:p>
        </w:tc>
      </w:tr>
      <w:tr w:rsidR="00124BE1" w:rsidRPr="009A6C20" w14:paraId="3E12F9B4" w14:textId="77777777" w:rsidTr="0067084F">
        <w:tc>
          <w:tcPr>
            <w:tcW w:w="4928" w:type="dxa"/>
          </w:tcPr>
          <w:p w14:paraId="1680C15C" w14:textId="77777777" w:rsidR="00124BE1" w:rsidRPr="009A6C20" w:rsidRDefault="00124BE1" w:rsidP="001A1CCD">
            <w:pPr>
              <w:rPr>
                <w:rFonts w:cs="Arial"/>
                <w:szCs w:val="22"/>
              </w:rPr>
            </w:pPr>
          </w:p>
        </w:tc>
        <w:tc>
          <w:tcPr>
            <w:tcW w:w="2126" w:type="dxa"/>
          </w:tcPr>
          <w:p w14:paraId="66AD10AD" w14:textId="77777777" w:rsidR="00124BE1" w:rsidRPr="009A6C20" w:rsidRDefault="00124BE1" w:rsidP="001A1CCD">
            <w:pPr>
              <w:jc w:val="right"/>
              <w:rPr>
                <w:rFonts w:cs="Arial"/>
                <w:szCs w:val="22"/>
              </w:rPr>
            </w:pPr>
          </w:p>
        </w:tc>
        <w:tc>
          <w:tcPr>
            <w:tcW w:w="1985" w:type="dxa"/>
          </w:tcPr>
          <w:p w14:paraId="6486AD9A" w14:textId="541C8F2A" w:rsidR="00124BE1" w:rsidRPr="009A6C20" w:rsidRDefault="00124BE1" w:rsidP="001A1CCD">
            <w:pPr>
              <w:jc w:val="right"/>
              <w:rPr>
                <w:rFonts w:cs="Arial"/>
                <w:szCs w:val="22"/>
              </w:rPr>
            </w:pPr>
          </w:p>
        </w:tc>
      </w:tr>
      <w:tr w:rsidR="00124BE1" w:rsidRPr="009A6C20" w14:paraId="08D81813" w14:textId="77777777" w:rsidTr="0067084F">
        <w:tc>
          <w:tcPr>
            <w:tcW w:w="4928" w:type="dxa"/>
          </w:tcPr>
          <w:p w14:paraId="7902526B" w14:textId="77777777" w:rsidR="00124BE1" w:rsidRPr="009A6C20" w:rsidRDefault="00124BE1" w:rsidP="001A1CCD">
            <w:pPr>
              <w:rPr>
                <w:rFonts w:cs="Arial"/>
                <w:szCs w:val="22"/>
              </w:rPr>
            </w:pPr>
          </w:p>
        </w:tc>
        <w:tc>
          <w:tcPr>
            <w:tcW w:w="2126" w:type="dxa"/>
          </w:tcPr>
          <w:p w14:paraId="10F2FA55" w14:textId="77777777" w:rsidR="00124BE1" w:rsidRPr="009A6C20" w:rsidRDefault="00124BE1" w:rsidP="001A1CCD">
            <w:pPr>
              <w:jc w:val="right"/>
              <w:rPr>
                <w:rFonts w:cs="Arial"/>
                <w:szCs w:val="22"/>
              </w:rPr>
            </w:pPr>
          </w:p>
        </w:tc>
        <w:tc>
          <w:tcPr>
            <w:tcW w:w="1985" w:type="dxa"/>
          </w:tcPr>
          <w:p w14:paraId="6920BF84" w14:textId="1865B58F" w:rsidR="00124BE1" w:rsidRPr="009A6C20" w:rsidRDefault="00124BE1" w:rsidP="001A1CCD">
            <w:pPr>
              <w:jc w:val="right"/>
              <w:rPr>
                <w:rFonts w:cs="Arial"/>
                <w:szCs w:val="22"/>
              </w:rPr>
            </w:pPr>
          </w:p>
        </w:tc>
      </w:tr>
      <w:tr w:rsidR="00124BE1" w:rsidRPr="009A6C20" w14:paraId="7D0AB299" w14:textId="77777777" w:rsidTr="0067084F">
        <w:tc>
          <w:tcPr>
            <w:tcW w:w="4928" w:type="dxa"/>
          </w:tcPr>
          <w:p w14:paraId="652041D4" w14:textId="7CA7C4E3" w:rsidR="00124BE1" w:rsidRPr="009A6C20" w:rsidRDefault="00124BE1">
            <w:pPr>
              <w:rPr>
                <w:rFonts w:cs="Arial"/>
                <w:sz w:val="22"/>
                <w:szCs w:val="22"/>
              </w:rPr>
            </w:pPr>
            <w:r w:rsidRPr="009A6C20">
              <w:rPr>
                <w:rFonts w:cs="Arial"/>
                <w:b/>
                <w:szCs w:val="22"/>
              </w:rPr>
              <w:t xml:space="preserve">Net </w:t>
            </w:r>
            <w:r w:rsidR="00EF0C9C">
              <w:rPr>
                <w:rFonts w:cs="Arial"/>
                <w:b/>
                <w:szCs w:val="22"/>
              </w:rPr>
              <w:t>increase/(</w:t>
            </w:r>
            <w:r w:rsidRPr="009A6C20">
              <w:rPr>
                <w:rFonts w:cs="Arial"/>
                <w:b/>
                <w:szCs w:val="22"/>
              </w:rPr>
              <w:t>decrease</w:t>
            </w:r>
            <w:r w:rsidR="00EF0C9C">
              <w:rPr>
                <w:rFonts w:cs="Arial"/>
                <w:b/>
                <w:szCs w:val="22"/>
              </w:rPr>
              <w:t>)</w:t>
            </w:r>
            <w:r w:rsidRPr="009A6C20">
              <w:rPr>
                <w:rFonts w:cs="Arial"/>
                <w:b/>
                <w:szCs w:val="22"/>
              </w:rPr>
              <w:t xml:space="preserve"> in cash and cash equivalents</w:t>
            </w:r>
            <w:r w:rsidRPr="009A6C20">
              <w:rPr>
                <w:rFonts w:cs="Arial"/>
                <w:b/>
                <w:szCs w:val="22"/>
              </w:rPr>
              <w:tab/>
            </w:r>
          </w:p>
        </w:tc>
        <w:tc>
          <w:tcPr>
            <w:tcW w:w="2126" w:type="dxa"/>
            <w:vAlign w:val="bottom"/>
          </w:tcPr>
          <w:p w14:paraId="6FC3C093" w14:textId="6F5391DD" w:rsidR="00124BE1" w:rsidRPr="009A6C20" w:rsidRDefault="00EF0C9C" w:rsidP="00EF0C9C">
            <w:pPr>
              <w:jc w:val="right"/>
              <w:rPr>
                <w:rFonts w:cs="Arial"/>
                <w:szCs w:val="22"/>
              </w:rPr>
            </w:pPr>
            <w:r>
              <w:rPr>
                <w:rFonts w:cs="Arial"/>
                <w:szCs w:val="22"/>
              </w:rPr>
              <w:t>1,733,143</w:t>
            </w:r>
            <w:r w:rsidR="00124BE1" w:rsidRPr="009A6C20">
              <w:rPr>
                <w:rFonts w:cs="Arial"/>
                <w:szCs w:val="22"/>
              </w:rPr>
              <w:t xml:space="preserve"> </w:t>
            </w:r>
          </w:p>
        </w:tc>
        <w:tc>
          <w:tcPr>
            <w:tcW w:w="1985" w:type="dxa"/>
            <w:vAlign w:val="bottom"/>
          </w:tcPr>
          <w:p w14:paraId="218A534F" w14:textId="547A3803" w:rsidR="00124BE1" w:rsidRPr="009A6C20" w:rsidRDefault="00124BE1" w:rsidP="00EF0C9C">
            <w:pPr>
              <w:jc w:val="right"/>
              <w:rPr>
                <w:rFonts w:cs="Arial"/>
                <w:sz w:val="22"/>
                <w:szCs w:val="22"/>
              </w:rPr>
            </w:pPr>
            <w:r w:rsidRPr="009A6C20">
              <w:rPr>
                <w:rFonts w:cs="Arial"/>
                <w:szCs w:val="22"/>
              </w:rPr>
              <w:t xml:space="preserve">(179,895) </w:t>
            </w:r>
          </w:p>
        </w:tc>
      </w:tr>
      <w:tr w:rsidR="00124BE1" w:rsidRPr="009A6C20" w14:paraId="4A612ADE" w14:textId="77777777" w:rsidTr="0067084F">
        <w:tc>
          <w:tcPr>
            <w:tcW w:w="4928" w:type="dxa"/>
          </w:tcPr>
          <w:p w14:paraId="1E728E59" w14:textId="77777777" w:rsidR="00124BE1" w:rsidRPr="009A6C20" w:rsidRDefault="00124BE1" w:rsidP="001A1CCD">
            <w:pPr>
              <w:rPr>
                <w:rFonts w:cs="Arial"/>
                <w:szCs w:val="22"/>
              </w:rPr>
            </w:pPr>
          </w:p>
        </w:tc>
        <w:tc>
          <w:tcPr>
            <w:tcW w:w="2126" w:type="dxa"/>
          </w:tcPr>
          <w:p w14:paraId="2E456379" w14:textId="77777777" w:rsidR="00124BE1" w:rsidRPr="009A6C20" w:rsidRDefault="00124BE1" w:rsidP="001A1CCD">
            <w:pPr>
              <w:jc w:val="right"/>
              <w:rPr>
                <w:rFonts w:cs="Arial"/>
                <w:szCs w:val="22"/>
              </w:rPr>
            </w:pPr>
          </w:p>
        </w:tc>
        <w:tc>
          <w:tcPr>
            <w:tcW w:w="1985" w:type="dxa"/>
          </w:tcPr>
          <w:p w14:paraId="2BCB9C10" w14:textId="43BFC069" w:rsidR="00124BE1" w:rsidRPr="009A6C20" w:rsidRDefault="00124BE1" w:rsidP="001A1CCD">
            <w:pPr>
              <w:jc w:val="right"/>
              <w:rPr>
                <w:rFonts w:cs="Arial"/>
                <w:szCs w:val="22"/>
              </w:rPr>
            </w:pPr>
          </w:p>
        </w:tc>
      </w:tr>
      <w:tr w:rsidR="00124BE1" w:rsidRPr="009A6C20" w14:paraId="550B4BBD" w14:textId="77777777" w:rsidTr="0067084F">
        <w:tc>
          <w:tcPr>
            <w:tcW w:w="4928" w:type="dxa"/>
          </w:tcPr>
          <w:p w14:paraId="0CB66882" w14:textId="77777777" w:rsidR="00124BE1" w:rsidRPr="009A6C20" w:rsidRDefault="00124BE1" w:rsidP="001A1CCD">
            <w:pPr>
              <w:rPr>
                <w:rFonts w:cs="Arial"/>
                <w:szCs w:val="22"/>
              </w:rPr>
            </w:pPr>
          </w:p>
        </w:tc>
        <w:tc>
          <w:tcPr>
            <w:tcW w:w="2126" w:type="dxa"/>
          </w:tcPr>
          <w:p w14:paraId="7746900D" w14:textId="77777777" w:rsidR="00124BE1" w:rsidRPr="009A6C20" w:rsidRDefault="00124BE1" w:rsidP="001A1CCD">
            <w:pPr>
              <w:jc w:val="right"/>
              <w:rPr>
                <w:rFonts w:cs="Arial"/>
                <w:szCs w:val="22"/>
              </w:rPr>
            </w:pPr>
          </w:p>
        </w:tc>
        <w:tc>
          <w:tcPr>
            <w:tcW w:w="1985" w:type="dxa"/>
          </w:tcPr>
          <w:p w14:paraId="4CD3FF3E" w14:textId="3705DEF1" w:rsidR="00124BE1" w:rsidRPr="009A6C20" w:rsidRDefault="00124BE1" w:rsidP="001A1CCD">
            <w:pPr>
              <w:jc w:val="right"/>
              <w:rPr>
                <w:rFonts w:cs="Arial"/>
                <w:szCs w:val="22"/>
              </w:rPr>
            </w:pPr>
          </w:p>
        </w:tc>
      </w:tr>
      <w:tr w:rsidR="00124BE1" w:rsidRPr="009A6C20" w14:paraId="530641A2" w14:textId="77777777" w:rsidTr="0067084F">
        <w:tc>
          <w:tcPr>
            <w:tcW w:w="4928" w:type="dxa"/>
          </w:tcPr>
          <w:p w14:paraId="2D65644F" w14:textId="1DA7E49B" w:rsidR="00124BE1" w:rsidRPr="009A6C20" w:rsidRDefault="00124BE1">
            <w:pPr>
              <w:rPr>
                <w:rFonts w:cs="Arial"/>
                <w:sz w:val="22"/>
                <w:szCs w:val="22"/>
              </w:rPr>
            </w:pPr>
            <w:r w:rsidRPr="009A6C20">
              <w:rPr>
                <w:rFonts w:cs="Arial"/>
                <w:b/>
                <w:szCs w:val="22"/>
              </w:rPr>
              <w:t>Cash and cash equivalents</w:t>
            </w:r>
            <w:r w:rsidRPr="009A6C20">
              <w:rPr>
                <w:rFonts w:cs="Arial"/>
                <w:szCs w:val="22"/>
              </w:rPr>
              <w:t>, at 1 January 201</w:t>
            </w:r>
            <w:r w:rsidR="00EF0C9C">
              <w:rPr>
                <w:rFonts w:cs="Arial"/>
                <w:szCs w:val="22"/>
              </w:rPr>
              <w:t>5</w:t>
            </w:r>
          </w:p>
        </w:tc>
        <w:tc>
          <w:tcPr>
            <w:tcW w:w="2126" w:type="dxa"/>
            <w:vAlign w:val="bottom"/>
          </w:tcPr>
          <w:p w14:paraId="531F53DA" w14:textId="24A30CA9" w:rsidR="00124BE1" w:rsidRPr="009A6C20" w:rsidRDefault="00EF0C9C" w:rsidP="00EF0C9C">
            <w:pPr>
              <w:jc w:val="right"/>
              <w:rPr>
                <w:rFonts w:cs="Arial"/>
                <w:szCs w:val="22"/>
              </w:rPr>
            </w:pPr>
            <w:r>
              <w:rPr>
                <w:rFonts w:cs="Arial"/>
                <w:szCs w:val="22"/>
              </w:rPr>
              <w:t>106,162</w:t>
            </w:r>
          </w:p>
        </w:tc>
        <w:tc>
          <w:tcPr>
            <w:tcW w:w="1985" w:type="dxa"/>
            <w:vAlign w:val="bottom"/>
          </w:tcPr>
          <w:p w14:paraId="25C5EB97" w14:textId="69112E05" w:rsidR="00124BE1" w:rsidRPr="009A6C20" w:rsidRDefault="00124BE1" w:rsidP="00EF0C9C">
            <w:pPr>
              <w:jc w:val="right"/>
              <w:rPr>
                <w:rFonts w:cs="Arial"/>
                <w:szCs w:val="22"/>
              </w:rPr>
            </w:pPr>
            <w:r w:rsidRPr="009A6C20">
              <w:rPr>
                <w:rFonts w:cs="Arial"/>
                <w:szCs w:val="22"/>
              </w:rPr>
              <w:t>286,057</w:t>
            </w:r>
          </w:p>
        </w:tc>
      </w:tr>
      <w:tr w:rsidR="00124BE1" w:rsidRPr="009A6C20" w14:paraId="798DA649" w14:textId="77777777" w:rsidTr="0067084F">
        <w:tc>
          <w:tcPr>
            <w:tcW w:w="4928" w:type="dxa"/>
          </w:tcPr>
          <w:p w14:paraId="3210CEC7" w14:textId="77777777" w:rsidR="00124BE1" w:rsidRPr="009A6C20" w:rsidRDefault="00124BE1" w:rsidP="001A1CCD">
            <w:pPr>
              <w:rPr>
                <w:rFonts w:cs="Arial"/>
                <w:szCs w:val="22"/>
              </w:rPr>
            </w:pPr>
          </w:p>
        </w:tc>
        <w:tc>
          <w:tcPr>
            <w:tcW w:w="2126" w:type="dxa"/>
          </w:tcPr>
          <w:p w14:paraId="0CF849A9" w14:textId="77777777" w:rsidR="00124BE1" w:rsidRPr="009A6C20" w:rsidRDefault="00124BE1" w:rsidP="001A1CCD">
            <w:pPr>
              <w:jc w:val="right"/>
              <w:rPr>
                <w:rFonts w:cs="Arial"/>
                <w:szCs w:val="22"/>
              </w:rPr>
            </w:pPr>
          </w:p>
        </w:tc>
        <w:tc>
          <w:tcPr>
            <w:tcW w:w="1985" w:type="dxa"/>
          </w:tcPr>
          <w:p w14:paraId="49D9637C" w14:textId="73E0AA75" w:rsidR="00124BE1" w:rsidRPr="009A6C20" w:rsidRDefault="00124BE1" w:rsidP="001A1CCD">
            <w:pPr>
              <w:jc w:val="right"/>
              <w:rPr>
                <w:rFonts w:cs="Arial"/>
                <w:szCs w:val="22"/>
              </w:rPr>
            </w:pPr>
          </w:p>
        </w:tc>
      </w:tr>
      <w:tr w:rsidR="00124BE1" w:rsidRPr="009A6C20" w14:paraId="1995C849" w14:textId="77777777" w:rsidTr="0067084F">
        <w:tc>
          <w:tcPr>
            <w:tcW w:w="4928" w:type="dxa"/>
          </w:tcPr>
          <w:p w14:paraId="4A313355" w14:textId="77777777" w:rsidR="00124BE1" w:rsidRPr="009A6C20" w:rsidRDefault="00124BE1" w:rsidP="001A1CCD">
            <w:pPr>
              <w:rPr>
                <w:rFonts w:cs="Arial"/>
                <w:szCs w:val="22"/>
              </w:rPr>
            </w:pPr>
          </w:p>
        </w:tc>
        <w:tc>
          <w:tcPr>
            <w:tcW w:w="2126" w:type="dxa"/>
          </w:tcPr>
          <w:p w14:paraId="1222EB64" w14:textId="77777777" w:rsidR="00124BE1" w:rsidRPr="009A6C20" w:rsidRDefault="00124BE1" w:rsidP="001A1CCD">
            <w:pPr>
              <w:jc w:val="right"/>
              <w:rPr>
                <w:rFonts w:cs="Arial"/>
                <w:szCs w:val="22"/>
              </w:rPr>
            </w:pPr>
          </w:p>
        </w:tc>
        <w:tc>
          <w:tcPr>
            <w:tcW w:w="1985" w:type="dxa"/>
          </w:tcPr>
          <w:p w14:paraId="5C8B249C" w14:textId="2C2E9550" w:rsidR="00124BE1" w:rsidRPr="009A6C20" w:rsidRDefault="00124BE1" w:rsidP="001A1CCD">
            <w:pPr>
              <w:jc w:val="right"/>
              <w:rPr>
                <w:rFonts w:cs="Arial"/>
                <w:szCs w:val="22"/>
              </w:rPr>
            </w:pPr>
          </w:p>
        </w:tc>
      </w:tr>
      <w:tr w:rsidR="00124BE1" w:rsidRPr="009A6C20" w14:paraId="099B7D6E" w14:textId="77777777" w:rsidTr="0067084F">
        <w:tc>
          <w:tcPr>
            <w:tcW w:w="4928" w:type="dxa"/>
          </w:tcPr>
          <w:p w14:paraId="223162DA" w14:textId="35808E26" w:rsidR="00124BE1" w:rsidRPr="009A6C20" w:rsidRDefault="00124BE1">
            <w:pPr>
              <w:rPr>
                <w:rFonts w:cs="Arial"/>
                <w:sz w:val="22"/>
                <w:szCs w:val="22"/>
              </w:rPr>
            </w:pPr>
            <w:r w:rsidRPr="009A6C20">
              <w:rPr>
                <w:rFonts w:cs="Arial"/>
                <w:b/>
                <w:szCs w:val="22"/>
              </w:rPr>
              <w:t>Cash and cash equivalents</w:t>
            </w:r>
            <w:r w:rsidRPr="009A6C20">
              <w:rPr>
                <w:rFonts w:cs="Arial"/>
                <w:szCs w:val="22"/>
              </w:rPr>
              <w:t>, at 31 December 201</w:t>
            </w:r>
            <w:r w:rsidR="00EF0C9C">
              <w:rPr>
                <w:rFonts w:cs="Arial"/>
                <w:szCs w:val="22"/>
              </w:rPr>
              <w:t>5</w:t>
            </w:r>
          </w:p>
        </w:tc>
        <w:tc>
          <w:tcPr>
            <w:tcW w:w="2126" w:type="dxa"/>
            <w:vAlign w:val="bottom"/>
          </w:tcPr>
          <w:p w14:paraId="6CB8A880" w14:textId="0DB40F57" w:rsidR="00124BE1" w:rsidRPr="009A6C20" w:rsidRDefault="00EF0C9C" w:rsidP="00EF0C9C">
            <w:pPr>
              <w:jc w:val="right"/>
              <w:rPr>
                <w:rFonts w:cs="Arial"/>
                <w:szCs w:val="22"/>
              </w:rPr>
            </w:pPr>
            <w:r>
              <w:rPr>
                <w:rFonts w:cs="Arial"/>
                <w:szCs w:val="22"/>
              </w:rPr>
              <w:t>1,839,305</w:t>
            </w:r>
            <w:r w:rsidR="00124BE1" w:rsidRPr="009A6C20">
              <w:rPr>
                <w:rFonts w:cs="Arial"/>
                <w:szCs w:val="22"/>
              </w:rPr>
              <w:t xml:space="preserve"> </w:t>
            </w:r>
          </w:p>
        </w:tc>
        <w:tc>
          <w:tcPr>
            <w:tcW w:w="1985" w:type="dxa"/>
            <w:vAlign w:val="bottom"/>
          </w:tcPr>
          <w:p w14:paraId="5BA9FFDD" w14:textId="60AD2030" w:rsidR="00124BE1" w:rsidRPr="009A6C20" w:rsidRDefault="00124BE1" w:rsidP="00EF0C9C">
            <w:pPr>
              <w:jc w:val="right"/>
              <w:rPr>
                <w:rFonts w:cs="Arial"/>
                <w:sz w:val="22"/>
                <w:szCs w:val="22"/>
              </w:rPr>
            </w:pPr>
            <w:r w:rsidRPr="009A6C20">
              <w:rPr>
                <w:rFonts w:cs="Arial"/>
                <w:szCs w:val="22"/>
              </w:rPr>
              <w:t xml:space="preserve"> 106,162 </w:t>
            </w:r>
          </w:p>
        </w:tc>
      </w:tr>
      <w:tr w:rsidR="00124BE1" w:rsidRPr="009A6C20" w14:paraId="229C1FDF" w14:textId="77777777" w:rsidTr="0067084F">
        <w:tc>
          <w:tcPr>
            <w:tcW w:w="4928" w:type="dxa"/>
          </w:tcPr>
          <w:p w14:paraId="2D278A6D" w14:textId="77777777" w:rsidR="00124BE1" w:rsidRPr="009A6C20" w:rsidRDefault="00124BE1" w:rsidP="001A1CCD">
            <w:pPr>
              <w:rPr>
                <w:rFonts w:cs="Arial"/>
                <w:szCs w:val="22"/>
              </w:rPr>
            </w:pPr>
          </w:p>
        </w:tc>
        <w:tc>
          <w:tcPr>
            <w:tcW w:w="2126" w:type="dxa"/>
          </w:tcPr>
          <w:p w14:paraId="461224BE" w14:textId="77777777" w:rsidR="00124BE1" w:rsidRPr="009A6C20" w:rsidRDefault="00124BE1" w:rsidP="001A1CCD">
            <w:pPr>
              <w:jc w:val="right"/>
              <w:rPr>
                <w:rFonts w:cs="Arial"/>
                <w:szCs w:val="22"/>
              </w:rPr>
            </w:pPr>
          </w:p>
        </w:tc>
        <w:tc>
          <w:tcPr>
            <w:tcW w:w="1985" w:type="dxa"/>
          </w:tcPr>
          <w:p w14:paraId="60F64A8B" w14:textId="03253941" w:rsidR="00124BE1" w:rsidRPr="009A6C20" w:rsidRDefault="00124BE1" w:rsidP="001A1CCD">
            <w:pPr>
              <w:jc w:val="right"/>
              <w:rPr>
                <w:rFonts w:cs="Arial"/>
                <w:szCs w:val="22"/>
              </w:rPr>
            </w:pPr>
          </w:p>
        </w:tc>
      </w:tr>
    </w:tbl>
    <w:p w14:paraId="5A7F8022" w14:textId="77777777" w:rsidR="00D5060B" w:rsidRDefault="00D5060B" w:rsidP="00D5060B">
      <w:pPr>
        <w:rPr>
          <w:rFonts w:cs="Arial"/>
          <w:szCs w:val="22"/>
        </w:rPr>
      </w:pPr>
    </w:p>
    <w:p w14:paraId="68637530" w14:textId="77777777" w:rsidR="00556FE6" w:rsidRDefault="00591815" w:rsidP="000764A3">
      <w:pPr>
        <w:rPr>
          <w:rFonts w:cs="Arial"/>
          <w:szCs w:val="22"/>
        </w:rPr>
      </w:pPr>
      <w:r w:rsidRPr="009A6C20">
        <w:rPr>
          <w:rFonts w:cs="Arial"/>
          <w:szCs w:val="22"/>
        </w:rPr>
        <w:t>See accompanying N</w:t>
      </w:r>
      <w:r w:rsidR="001A1CCD" w:rsidRPr="009A6C20">
        <w:rPr>
          <w:rFonts w:cs="Arial"/>
          <w:szCs w:val="22"/>
        </w:rPr>
        <w:t>otes</w:t>
      </w:r>
      <w:r w:rsidRPr="009A6C20">
        <w:rPr>
          <w:rFonts w:cs="Arial"/>
          <w:szCs w:val="22"/>
        </w:rPr>
        <w:t xml:space="preserve"> to Financial Statements</w:t>
      </w:r>
      <w:r w:rsidR="001A1CCD" w:rsidRPr="009A6C20">
        <w:rPr>
          <w:rFonts w:cs="Arial"/>
          <w:szCs w:val="22"/>
        </w:rPr>
        <w:tab/>
      </w:r>
      <w:r w:rsidR="001A1CCD" w:rsidRPr="009A6C20">
        <w:rPr>
          <w:rFonts w:cs="Arial"/>
          <w:szCs w:val="22"/>
        </w:rPr>
        <w:tab/>
      </w:r>
      <w:r w:rsidR="001A1CCD" w:rsidRPr="009A6C20">
        <w:rPr>
          <w:rFonts w:cs="Arial"/>
          <w:szCs w:val="22"/>
        </w:rPr>
        <w:tab/>
      </w:r>
    </w:p>
    <w:p w14:paraId="4A938E4D" w14:textId="77777777" w:rsidR="00470906" w:rsidRDefault="00470906" w:rsidP="000764A3">
      <w:pPr>
        <w:rPr>
          <w:rFonts w:cs="Arial"/>
          <w:szCs w:val="22"/>
        </w:rPr>
      </w:pPr>
    </w:p>
    <w:p w14:paraId="3D1B77B5" w14:textId="77777777" w:rsidR="00EF0C9C" w:rsidRDefault="00EF0C9C" w:rsidP="00EF0C9C">
      <w:pPr>
        <w:rPr>
          <w:rFonts w:cs="Arial"/>
          <w:b/>
          <w:szCs w:val="22"/>
        </w:rPr>
      </w:pPr>
    </w:p>
    <w:p w14:paraId="61CC3185" w14:textId="77777777" w:rsidR="00EF0C9C" w:rsidRDefault="00EF0C9C" w:rsidP="00EF0C9C">
      <w:pPr>
        <w:rPr>
          <w:rFonts w:cs="Arial"/>
          <w:b/>
          <w:szCs w:val="22"/>
        </w:rPr>
      </w:pPr>
    </w:p>
    <w:p w14:paraId="19C6EDFA" w14:textId="7194A231" w:rsidR="00470906" w:rsidRPr="00EF0C9C" w:rsidRDefault="00EF0C9C" w:rsidP="000764A3">
      <w:pPr>
        <w:rPr>
          <w:rFonts w:cs="Arial"/>
          <w:b/>
          <w:szCs w:val="22"/>
        </w:rPr>
      </w:pPr>
      <w:r w:rsidRPr="00EF0C9C">
        <w:rPr>
          <w:rFonts w:cs="Arial"/>
          <w:b/>
          <w:szCs w:val="22"/>
        </w:rPr>
        <w:t xml:space="preserve">NOTES TO THE FINANCIAL STATEMENTS 31 DECEMBER 2015 </w:t>
      </w:r>
    </w:p>
    <w:p w14:paraId="2B378148" w14:textId="77777777" w:rsidR="00EF0C9C" w:rsidRPr="00D5060B" w:rsidRDefault="00EF0C9C" w:rsidP="000764A3">
      <w:pPr>
        <w:rPr>
          <w:rFonts w:cs="Arial"/>
          <w:szCs w:val="22"/>
        </w:rPr>
      </w:pPr>
    </w:p>
    <w:p w14:paraId="7FA446AA" w14:textId="77777777" w:rsidR="00556FE6" w:rsidRPr="000C3DEC" w:rsidRDefault="00556FE6" w:rsidP="000B0D31">
      <w:pPr>
        <w:pStyle w:val="Heading8"/>
        <w:numPr>
          <w:ilvl w:val="0"/>
          <w:numId w:val="1"/>
        </w:numPr>
        <w:tabs>
          <w:tab w:val="clear" w:pos="342"/>
          <w:tab w:val="num" w:pos="360"/>
        </w:tabs>
        <w:ind w:left="360" w:right="389"/>
        <w:rPr>
          <w:rFonts w:cs="Arial"/>
          <w:sz w:val="22"/>
          <w:szCs w:val="22"/>
        </w:rPr>
      </w:pPr>
      <w:r w:rsidRPr="000C3DEC">
        <w:rPr>
          <w:rFonts w:cs="Arial"/>
          <w:sz w:val="22"/>
          <w:szCs w:val="22"/>
        </w:rPr>
        <w:t>N</w:t>
      </w:r>
      <w:r w:rsidR="00834A8C">
        <w:rPr>
          <w:rFonts w:cs="Arial"/>
          <w:sz w:val="22"/>
          <w:szCs w:val="22"/>
        </w:rPr>
        <w:t>ATURE OF OPERATIONS AND SUMMARY OF SIGNIFICANT ACCOUNTING POLICIES</w:t>
      </w:r>
    </w:p>
    <w:p w14:paraId="5C37E676" w14:textId="77777777" w:rsidR="00B23E41" w:rsidRDefault="00B23E41" w:rsidP="00591815">
      <w:pPr>
        <w:widowControl w:val="0"/>
        <w:autoSpaceDE w:val="0"/>
        <w:autoSpaceDN w:val="0"/>
        <w:adjustRightInd w:val="0"/>
        <w:ind w:right="389"/>
        <w:rPr>
          <w:rFonts w:cs="Arial"/>
          <w:b/>
          <w:bCs/>
          <w:szCs w:val="22"/>
        </w:rPr>
      </w:pPr>
    </w:p>
    <w:p w14:paraId="67911CB3" w14:textId="77777777" w:rsidR="00B23E41" w:rsidRDefault="001A5FB0" w:rsidP="00591815">
      <w:pPr>
        <w:widowControl w:val="0"/>
        <w:autoSpaceDE w:val="0"/>
        <w:autoSpaceDN w:val="0"/>
        <w:adjustRightInd w:val="0"/>
        <w:ind w:right="389"/>
        <w:rPr>
          <w:rFonts w:cs="Arial"/>
          <w:b/>
          <w:bCs/>
          <w:szCs w:val="22"/>
        </w:rPr>
      </w:pPr>
      <w:r w:rsidRPr="001A5FB0">
        <w:rPr>
          <w:rFonts w:cs="Arial"/>
          <w:b/>
          <w:szCs w:val="22"/>
        </w:rPr>
        <w:t>Nature of Operations</w:t>
      </w:r>
    </w:p>
    <w:p w14:paraId="656CA415" w14:textId="0F3DF843" w:rsidR="00EF0C9C" w:rsidRDefault="00EF0C9C" w:rsidP="00261BD5">
      <w:pPr>
        <w:pStyle w:val="BodyText"/>
        <w:kinsoku w:val="0"/>
        <w:overflowPunct w:val="0"/>
        <w:spacing w:before="57"/>
        <w:ind w:right="391"/>
        <w:contextualSpacing/>
        <w:rPr>
          <w:rFonts w:cs="Arial"/>
          <w:spacing w:val="0"/>
          <w:sz w:val="22"/>
          <w:szCs w:val="22"/>
        </w:rPr>
      </w:pPr>
      <w:r w:rsidRPr="00EF0C9C">
        <w:rPr>
          <w:rFonts w:cs="Arial"/>
          <w:spacing w:val="0"/>
          <w:sz w:val="22"/>
          <w:szCs w:val="22"/>
        </w:rPr>
        <w:t>CATCo Reinsurance Opportunities Fund Ltd. (the “Company”) is a closed-ended fund, registered and incorporated as an exempted mutual fund company in Bermuda on 30 Nov</w:t>
      </w:r>
      <w:r>
        <w:rPr>
          <w:rFonts w:cs="Arial"/>
          <w:spacing w:val="0"/>
          <w:sz w:val="22"/>
          <w:szCs w:val="22"/>
        </w:rPr>
        <w:t>ember 2010 and commenced opera</w:t>
      </w:r>
      <w:r w:rsidRPr="00EF0C9C">
        <w:rPr>
          <w:rFonts w:cs="Arial"/>
          <w:spacing w:val="0"/>
          <w:sz w:val="22"/>
          <w:szCs w:val="22"/>
        </w:rPr>
        <w:t xml:space="preserve">tions on 20 December 2010. The Company was </w:t>
      </w:r>
      <w:proofErr w:type="spellStart"/>
      <w:r w:rsidRPr="00EF0C9C">
        <w:rPr>
          <w:rFonts w:cs="Arial"/>
          <w:spacing w:val="0"/>
          <w:sz w:val="22"/>
          <w:szCs w:val="22"/>
        </w:rPr>
        <w:t>organised</w:t>
      </w:r>
      <w:proofErr w:type="spellEnd"/>
      <w:r w:rsidRPr="00EF0C9C">
        <w:rPr>
          <w:rFonts w:cs="Arial"/>
          <w:spacing w:val="0"/>
          <w:sz w:val="22"/>
          <w:szCs w:val="22"/>
        </w:rPr>
        <w:t xml:space="preserve"> as a feeder fund to invest substantially all of its assets in CATCo Diversified Fund (the “Master Fund”). The Master Fund is a segregated account of CATCo Reinsurance Fund Ltd., a mutual fund company incorporated in Bermuda and registered as a segregated account company under the Segregated Accounts Company Act 2000, as amended (the “SAC Act</w:t>
      </w:r>
      <w:r>
        <w:rPr>
          <w:rFonts w:cs="Arial"/>
          <w:spacing w:val="0"/>
          <w:sz w:val="22"/>
          <w:szCs w:val="22"/>
        </w:rPr>
        <w:t>”). The Master Fund will estab</w:t>
      </w:r>
      <w:r w:rsidRPr="00EF0C9C">
        <w:rPr>
          <w:rFonts w:cs="Arial"/>
          <w:spacing w:val="0"/>
          <w:sz w:val="22"/>
          <w:szCs w:val="22"/>
        </w:rPr>
        <w:t>lish a separate account for each class of shares comprised in each segregated account (each, an “Account”). Each Account is a separate individually managed pool of assets constituting, in effect, a separate fund with its own investment objective and policies and overseen by CATCo Investment Management Ltd. (the “Investment Manager”). The assets attributable to each segregated account of the Master Fund shall only be available to creditors in respect of that segregated account. Pursuant to an investment</w:t>
      </w:r>
      <w:r>
        <w:rPr>
          <w:rFonts w:cs="Arial"/>
          <w:spacing w:val="0"/>
          <w:sz w:val="22"/>
          <w:szCs w:val="22"/>
        </w:rPr>
        <w:t xml:space="preserve"> management agreement, the Com</w:t>
      </w:r>
      <w:r w:rsidRPr="00EF0C9C">
        <w:rPr>
          <w:rFonts w:cs="Arial"/>
          <w:spacing w:val="0"/>
          <w:sz w:val="22"/>
          <w:szCs w:val="22"/>
        </w:rPr>
        <w:t xml:space="preserve">pany is managed by the Investment Manager. Refer to the Company’s prospectus for more information. </w:t>
      </w:r>
    </w:p>
    <w:p w14:paraId="6CFE748C" w14:textId="77777777" w:rsidR="0067084F" w:rsidRPr="00EF0C9C" w:rsidRDefault="0067084F" w:rsidP="00261BD5">
      <w:pPr>
        <w:pStyle w:val="BodyText"/>
        <w:kinsoku w:val="0"/>
        <w:overflowPunct w:val="0"/>
        <w:spacing w:before="57"/>
        <w:ind w:right="391"/>
        <w:contextualSpacing/>
        <w:rPr>
          <w:rFonts w:cs="Arial"/>
          <w:spacing w:val="0"/>
          <w:sz w:val="22"/>
          <w:szCs w:val="22"/>
        </w:rPr>
      </w:pPr>
    </w:p>
    <w:p w14:paraId="13DF9C3D" w14:textId="77777777" w:rsidR="00EF0C9C" w:rsidRDefault="00EF0C9C" w:rsidP="00261BD5">
      <w:pPr>
        <w:pStyle w:val="BodyText"/>
        <w:kinsoku w:val="0"/>
        <w:overflowPunct w:val="0"/>
        <w:spacing w:before="57"/>
        <w:ind w:right="391"/>
        <w:contextualSpacing/>
        <w:rPr>
          <w:rFonts w:cs="Arial"/>
          <w:spacing w:val="0"/>
          <w:sz w:val="22"/>
          <w:szCs w:val="22"/>
        </w:rPr>
      </w:pPr>
      <w:r w:rsidRPr="00EF0C9C">
        <w:rPr>
          <w:rFonts w:cs="Arial"/>
          <w:spacing w:val="0"/>
          <w:sz w:val="22"/>
          <w:szCs w:val="22"/>
        </w:rPr>
        <w:t xml:space="preserve">The Company’s Shares are listed and traded on the Specialist Fund Market (“SFM”), a market operated by the London Stock Exchange. The Company’s Shares are also listed on the Bermuda Stock Exchange following the Secondary Listing on 20 May 2011. </w:t>
      </w:r>
    </w:p>
    <w:p w14:paraId="5210E3C2" w14:textId="77777777" w:rsidR="0067084F" w:rsidRPr="00EF0C9C" w:rsidRDefault="0067084F" w:rsidP="00261BD5">
      <w:pPr>
        <w:pStyle w:val="BodyText"/>
        <w:kinsoku w:val="0"/>
        <w:overflowPunct w:val="0"/>
        <w:spacing w:before="57"/>
        <w:ind w:right="391"/>
        <w:contextualSpacing/>
        <w:rPr>
          <w:rFonts w:cs="Arial"/>
          <w:spacing w:val="0"/>
          <w:sz w:val="22"/>
          <w:szCs w:val="22"/>
        </w:rPr>
      </w:pPr>
    </w:p>
    <w:p w14:paraId="04798523" w14:textId="77777777" w:rsidR="00EF0C9C" w:rsidRDefault="00EF0C9C" w:rsidP="00261BD5">
      <w:pPr>
        <w:pStyle w:val="BodyText"/>
        <w:kinsoku w:val="0"/>
        <w:overflowPunct w:val="0"/>
        <w:spacing w:before="57"/>
        <w:ind w:right="391"/>
        <w:contextualSpacing/>
        <w:rPr>
          <w:rFonts w:cs="Arial"/>
          <w:spacing w:val="0"/>
          <w:sz w:val="22"/>
          <w:szCs w:val="22"/>
        </w:rPr>
      </w:pPr>
      <w:r w:rsidRPr="00EF0C9C">
        <w:rPr>
          <w:rFonts w:cs="Arial"/>
          <w:spacing w:val="0"/>
          <w:sz w:val="22"/>
          <w:szCs w:val="22"/>
        </w:rPr>
        <w:t xml:space="preserve">The objective of the Master Fund is to give the Shareholders the opportunity to participate in the investment returns of various insurance-based instruments, including preference shares through which the Master Fund would be exposed to reinsurance risk, insurance-linked securities (such as notes, swaps and other derivatives), and other financial instruments. All of the Master Fund’s exposure to reinsurance risk is obtained through its investment (via preference shares) in CATCo-Re Ltd. and its segregated account, </w:t>
      </w:r>
      <w:proofErr w:type="spellStart"/>
      <w:r w:rsidRPr="00EF0C9C">
        <w:rPr>
          <w:rFonts w:cs="Arial"/>
          <w:spacing w:val="0"/>
          <w:sz w:val="22"/>
          <w:szCs w:val="22"/>
        </w:rPr>
        <w:t>Aquilo</w:t>
      </w:r>
      <w:proofErr w:type="spellEnd"/>
      <w:r w:rsidRPr="00EF0C9C">
        <w:rPr>
          <w:rFonts w:cs="Arial"/>
          <w:spacing w:val="0"/>
          <w:sz w:val="22"/>
          <w:szCs w:val="22"/>
        </w:rPr>
        <w:t xml:space="preserve"> Re (the “Reinsurer”). At 31 December 2015, the Company’s ownership is 15% of the Master Fund (19% at 31 December 2014). </w:t>
      </w:r>
    </w:p>
    <w:p w14:paraId="1C82695D" w14:textId="77777777" w:rsidR="0067084F" w:rsidRPr="00EF0C9C" w:rsidRDefault="0067084F" w:rsidP="00261BD5">
      <w:pPr>
        <w:pStyle w:val="BodyText"/>
        <w:kinsoku w:val="0"/>
        <w:overflowPunct w:val="0"/>
        <w:spacing w:before="57"/>
        <w:ind w:right="391"/>
        <w:contextualSpacing/>
        <w:rPr>
          <w:rFonts w:cs="Arial"/>
          <w:spacing w:val="0"/>
          <w:sz w:val="22"/>
          <w:szCs w:val="22"/>
        </w:rPr>
      </w:pPr>
    </w:p>
    <w:p w14:paraId="44F5534D" w14:textId="77777777" w:rsidR="00EF0C9C" w:rsidRDefault="00EF0C9C" w:rsidP="00261BD5">
      <w:pPr>
        <w:pStyle w:val="BodyText"/>
        <w:kinsoku w:val="0"/>
        <w:overflowPunct w:val="0"/>
        <w:spacing w:before="57"/>
        <w:ind w:right="391"/>
        <w:contextualSpacing/>
        <w:rPr>
          <w:rFonts w:cs="Arial"/>
          <w:spacing w:val="0"/>
          <w:sz w:val="22"/>
          <w:szCs w:val="22"/>
        </w:rPr>
      </w:pPr>
      <w:r w:rsidRPr="00EF0C9C">
        <w:rPr>
          <w:rFonts w:cs="Arial"/>
          <w:spacing w:val="0"/>
          <w:sz w:val="22"/>
          <w:szCs w:val="22"/>
        </w:rPr>
        <w:t xml:space="preserve">The Reinsurer is a Bermuda licensed Class 3 </w:t>
      </w:r>
      <w:proofErr w:type="gramStart"/>
      <w:r w:rsidRPr="00EF0C9C">
        <w:rPr>
          <w:rFonts w:cs="Arial"/>
          <w:spacing w:val="0"/>
          <w:sz w:val="22"/>
          <w:szCs w:val="22"/>
        </w:rPr>
        <w:t>reinsurance company</w:t>
      </w:r>
      <w:proofErr w:type="gramEnd"/>
      <w:r w:rsidRPr="00EF0C9C">
        <w:rPr>
          <w:rFonts w:cs="Arial"/>
          <w:spacing w:val="0"/>
          <w:sz w:val="22"/>
          <w:szCs w:val="22"/>
        </w:rPr>
        <w:t xml:space="preserve">, registered as a segregated accounts company under the SAC Act, through which the Master Fund accesses all of its reinsurance risk exposure. The Reinsurer will form a segregated account that corresponds solely to the Master Fund’s investment in the Reinsurer with respect to each particular reinsurance agreement. </w:t>
      </w:r>
    </w:p>
    <w:p w14:paraId="074927A4" w14:textId="77777777" w:rsidR="0067084F" w:rsidRPr="00EF0C9C" w:rsidRDefault="0067084F" w:rsidP="00261BD5">
      <w:pPr>
        <w:pStyle w:val="BodyText"/>
        <w:kinsoku w:val="0"/>
        <w:overflowPunct w:val="0"/>
        <w:spacing w:before="57"/>
        <w:ind w:right="391"/>
        <w:contextualSpacing/>
        <w:rPr>
          <w:rFonts w:cs="Arial"/>
          <w:spacing w:val="0"/>
          <w:sz w:val="22"/>
          <w:szCs w:val="22"/>
        </w:rPr>
      </w:pPr>
    </w:p>
    <w:p w14:paraId="128984AC" w14:textId="77777777" w:rsidR="00EF0C9C" w:rsidRPr="00EF0C9C" w:rsidRDefault="00EF0C9C" w:rsidP="00261BD5">
      <w:pPr>
        <w:pStyle w:val="BodyText"/>
        <w:kinsoku w:val="0"/>
        <w:overflowPunct w:val="0"/>
        <w:spacing w:before="57"/>
        <w:ind w:right="391"/>
        <w:contextualSpacing/>
        <w:rPr>
          <w:rFonts w:cs="Arial"/>
          <w:spacing w:val="0"/>
          <w:sz w:val="22"/>
          <w:szCs w:val="22"/>
        </w:rPr>
      </w:pPr>
      <w:r w:rsidRPr="00EF0C9C">
        <w:rPr>
          <w:rFonts w:cs="Arial"/>
          <w:spacing w:val="0"/>
          <w:sz w:val="22"/>
          <w:szCs w:val="22"/>
        </w:rPr>
        <w:t xml:space="preserve">The Reinsurer focuses primarily on property catastrophe insurance and may be exposed to losses arising from hurricanes, earthquakes, typhoons, hailstorms, floods, tsunamis, tornados, windstorms, extreme temperatures, aviation, fires, explosions, marine and other perils. </w:t>
      </w:r>
    </w:p>
    <w:p w14:paraId="40B369D7" w14:textId="77777777" w:rsidR="00EF0C9C" w:rsidRDefault="00EF0C9C" w:rsidP="00EF0C9C">
      <w:pPr>
        <w:pStyle w:val="BodyText"/>
        <w:kinsoku w:val="0"/>
        <w:overflowPunct w:val="0"/>
        <w:spacing w:before="57"/>
        <w:ind w:right="389"/>
        <w:rPr>
          <w:rFonts w:cs="Arial"/>
          <w:spacing w:val="0"/>
          <w:sz w:val="22"/>
          <w:szCs w:val="22"/>
        </w:rPr>
      </w:pPr>
      <w:r w:rsidRPr="00EF0C9C">
        <w:rPr>
          <w:rFonts w:cs="Arial"/>
          <w:spacing w:val="0"/>
          <w:sz w:val="22"/>
          <w:szCs w:val="22"/>
        </w:rPr>
        <w:t xml:space="preserve">On 10 September 2015, Markel Corporation (“Markel”) and the Investment Manager jointly announced that they had entered into an agreement (the “Acquisition”) whereby Markel would acquire substantially all of the assets of the Investment Manager. </w:t>
      </w:r>
    </w:p>
    <w:p w14:paraId="6CB217D5" w14:textId="77777777" w:rsidR="0067084F" w:rsidRPr="00EF0C9C" w:rsidRDefault="0067084F" w:rsidP="00EF0C9C">
      <w:pPr>
        <w:pStyle w:val="BodyText"/>
        <w:kinsoku w:val="0"/>
        <w:overflowPunct w:val="0"/>
        <w:spacing w:before="57"/>
        <w:ind w:right="389"/>
        <w:rPr>
          <w:rFonts w:cs="Arial"/>
          <w:spacing w:val="0"/>
          <w:sz w:val="22"/>
          <w:szCs w:val="22"/>
        </w:rPr>
      </w:pPr>
    </w:p>
    <w:p w14:paraId="3DF02F27" w14:textId="1D5AF287" w:rsidR="00EF0C9C" w:rsidRDefault="00EF0C9C" w:rsidP="00261BD5">
      <w:pPr>
        <w:pStyle w:val="BodyText"/>
        <w:kinsoku w:val="0"/>
        <w:overflowPunct w:val="0"/>
        <w:spacing w:before="57"/>
        <w:ind w:right="391"/>
        <w:contextualSpacing/>
        <w:rPr>
          <w:rFonts w:cs="Arial"/>
          <w:spacing w:val="0"/>
          <w:sz w:val="22"/>
          <w:szCs w:val="22"/>
        </w:rPr>
      </w:pPr>
      <w:r w:rsidRPr="00EF0C9C">
        <w:rPr>
          <w:rFonts w:cs="Arial"/>
          <w:spacing w:val="0"/>
          <w:sz w:val="22"/>
          <w:szCs w:val="22"/>
        </w:rPr>
        <w:t>On 8 December 2015, the Acquisition was completed and substantially all of the assets of the Investment Manager were acquired by Markel. As a result of the Acquisition, Markel CATCo Investment Management Ltd. (“Markel CATCo”) commenced operation and the Investment Manager’s manag</w:t>
      </w:r>
      <w:r>
        <w:rPr>
          <w:rFonts w:cs="Arial"/>
          <w:spacing w:val="0"/>
          <w:sz w:val="22"/>
          <w:szCs w:val="22"/>
        </w:rPr>
        <w:t>ement team, led by Chief Execu</w:t>
      </w:r>
      <w:r w:rsidRPr="00EF0C9C">
        <w:rPr>
          <w:rFonts w:cs="Arial"/>
          <w:spacing w:val="0"/>
          <w:sz w:val="22"/>
          <w:szCs w:val="22"/>
        </w:rPr>
        <w:t xml:space="preserve">tive Officer Anthony </w:t>
      </w:r>
      <w:proofErr w:type="spellStart"/>
      <w:r w:rsidRPr="00EF0C9C">
        <w:rPr>
          <w:rFonts w:cs="Arial"/>
          <w:spacing w:val="0"/>
          <w:sz w:val="22"/>
          <w:szCs w:val="22"/>
        </w:rPr>
        <w:t>Belisle</w:t>
      </w:r>
      <w:proofErr w:type="spellEnd"/>
      <w:r w:rsidRPr="00EF0C9C">
        <w:rPr>
          <w:rFonts w:cs="Arial"/>
          <w:spacing w:val="0"/>
          <w:sz w:val="22"/>
          <w:szCs w:val="22"/>
        </w:rPr>
        <w:t xml:space="preserve">, has transitioned into commensurate roles at Markel CATCo and continues to operate the business from its Hamilton, Bermuda headquarters, now under Markel’s ultimate ownership. </w:t>
      </w:r>
    </w:p>
    <w:p w14:paraId="573CF3D4" w14:textId="77777777" w:rsidR="009222E8" w:rsidRDefault="009222E8" w:rsidP="00261BD5">
      <w:pPr>
        <w:pStyle w:val="BodyText"/>
        <w:kinsoku w:val="0"/>
        <w:overflowPunct w:val="0"/>
        <w:spacing w:before="57"/>
        <w:ind w:right="391"/>
        <w:contextualSpacing/>
        <w:rPr>
          <w:rFonts w:cs="Arial"/>
          <w:spacing w:val="0"/>
          <w:sz w:val="22"/>
          <w:szCs w:val="22"/>
        </w:rPr>
      </w:pPr>
    </w:p>
    <w:p w14:paraId="5862EDB9" w14:textId="60D1B665" w:rsidR="009222E8" w:rsidRPr="00EB50B1" w:rsidRDefault="00EB50B1" w:rsidP="00261BD5">
      <w:pPr>
        <w:pStyle w:val="BodyText"/>
        <w:kinsoku w:val="0"/>
        <w:overflowPunct w:val="0"/>
        <w:spacing w:before="57"/>
        <w:ind w:right="391"/>
        <w:contextualSpacing/>
        <w:rPr>
          <w:rFonts w:cs="Arial"/>
          <w:spacing w:val="0"/>
          <w:sz w:val="22"/>
          <w:szCs w:val="22"/>
        </w:rPr>
      </w:pPr>
      <w:r w:rsidRPr="00EB50B1">
        <w:rPr>
          <w:rFonts w:cs="Arial"/>
          <w:spacing w:val="0"/>
          <w:sz w:val="22"/>
          <w:szCs w:val="22"/>
        </w:rPr>
        <w:t xml:space="preserve">On 8 December 2015, Markel CATCo entered into a Run-Off Services Agreement with CATCo Investment Management Ltd., under which the former will provide services relating to the management of the run-off business of CATCo Investment Management Ltd. </w:t>
      </w:r>
    </w:p>
    <w:p w14:paraId="6646A6A6" w14:textId="77777777" w:rsidR="009222E8" w:rsidRPr="00EF0C9C" w:rsidRDefault="009222E8" w:rsidP="00261BD5">
      <w:pPr>
        <w:pStyle w:val="BodyText"/>
        <w:kinsoku w:val="0"/>
        <w:overflowPunct w:val="0"/>
        <w:spacing w:before="57"/>
        <w:ind w:right="391"/>
        <w:contextualSpacing/>
        <w:rPr>
          <w:rFonts w:cs="Arial"/>
          <w:spacing w:val="0"/>
          <w:sz w:val="22"/>
          <w:szCs w:val="22"/>
        </w:rPr>
      </w:pPr>
    </w:p>
    <w:p w14:paraId="424DC109" w14:textId="188B9758" w:rsidR="00EF0C9C" w:rsidRPr="00EF0C9C" w:rsidRDefault="00EF0C9C" w:rsidP="00261BD5">
      <w:pPr>
        <w:pStyle w:val="BodyText"/>
        <w:kinsoku w:val="0"/>
        <w:overflowPunct w:val="0"/>
        <w:spacing w:before="57"/>
        <w:ind w:right="391"/>
        <w:contextualSpacing/>
        <w:rPr>
          <w:rFonts w:cs="Arial"/>
          <w:spacing w:val="0"/>
          <w:sz w:val="22"/>
          <w:szCs w:val="22"/>
        </w:rPr>
      </w:pPr>
      <w:r w:rsidRPr="00EF0C9C">
        <w:rPr>
          <w:rFonts w:cs="Arial"/>
          <w:spacing w:val="0"/>
          <w:sz w:val="22"/>
          <w:szCs w:val="22"/>
        </w:rPr>
        <w:t xml:space="preserve">As a result of the completion of the Acquisition, effective 1 January 2016, the Company will conduct substantially all of its investment activities through the Markel CATCo Diversified Fund (the “Markel CATCo Master Fund”), a segregated account of Markel CATCo Reinsurance Fund Ltd. (the “Markel CATCo SAC”), instead of the </w:t>
      </w:r>
      <w:r>
        <w:rPr>
          <w:rFonts w:cs="Arial"/>
          <w:spacing w:val="0"/>
          <w:sz w:val="22"/>
          <w:szCs w:val="22"/>
        </w:rPr>
        <w:t>Mas</w:t>
      </w:r>
      <w:r w:rsidRPr="00EF0C9C">
        <w:rPr>
          <w:rFonts w:cs="Arial"/>
          <w:spacing w:val="0"/>
          <w:sz w:val="22"/>
          <w:szCs w:val="22"/>
        </w:rPr>
        <w:t xml:space="preserve">ter Fund. Meanwhile, the Company will retain an interest in any run-off business of the Master Fund until such business is liquidated. </w:t>
      </w:r>
    </w:p>
    <w:p w14:paraId="29F93C26" w14:textId="77777777" w:rsidR="00DB7904" w:rsidRPr="00563B0C" w:rsidRDefault="00DB7904"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p>
    <w:p w14:paraId="598558FE" w14:textId="77777777" w:rsidR="00DB7904" w:rsidRPr="00563B0C" w:rsidRDefault="001A5FB0"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b/>
          <w:szCs w:val="22"/>
        </w:rPr>
      </w:pPr>
      <w:r w:rsidRPr="001A5FB0">
        <w:rPr>
          <w:rFonts w:cs="Arial"/>
          <w:b/>
          <w:szCs w:val="22"/>
        </w:rPr>
        <w:t>Basis of Presentation</w:t>
      </w:r>
    </w:p>
    <w:p w14:paraId="6F49A074" w14:textId="255CCB20" w:rsidR="00DB7904" w:rsidRDefault="00EF0C9C" w:rsidP="00EF0C9C">
      <w:pPr>
        <w:pStyle w:val="BodyText"/>
        <w:kinsoku w:val="0"/>
        <w:overflowPunct w:val="0"/>
        <w:spacing w:before="57"/>
        <w:ind w:right="389"/>
        <w:rPr>
          <w:rFonts w:cs="Arial"/>
          <w:spacing w:val="0"/>
          <w:sz w:val="22"/>
          <w:szCs w:val="22"/>
        </w:rPr>
      </w:pPr>
      <w:r w:rsidRPr="00EF0C9C">
        <w:rPr>
          <w:rFonts w:cs="Arial"/>
          <w:spacing w:val="0"/>
          <w:sz w:val="22"/>
          <w:szCs w:val="22"/>
        </w:rPr>
        <w:t xml:space="preserve">The audited Financial Statements are expressed in United States dollars and have been prepared in conformity with accounting principles generally accepted in the United States of America (“GAAP”). The Company is an investment company and follows the accounting and reporting guidance contained within Topic 946 of the Financial Accounting Standards Board’s Accounting Standards Codification (“ASC”). </w:t>
      </w:r>
    </w:p>
    <w:p w14:paraId="71C3B91A" w14:textId="77777777" w:rsidR="00EF0C9C" w:rsidRPr="00EF0C9C" w:rsidRDefault="00EF0C9C" w:rsidP="00EF0C9C">
      <w:pPr>
        <w:pStyle w:val="BodyText"/>
        <w:kinsoku w:val="0"/>
        <w:overflowPunct w:val="0"/>
        <w:spacing w:before="57"/>
        <w:ind w:right="389"/>
        <w:rPr>
          <w:rFonts w:cs="Arial"/>
          <w:spacing w:val="0"/>
          <w:sz w:val="22"/>
          <w:szCs w:val="22"/>
        </w:rPr>
      </w:pPr>
    </w:p>
    <w:p w14:paraId="769D7D8B" w14:textId="77777777" w:rsidR="00DB7904" w:rsidRPr="00563B0C" w:rsidRDefault="001A5FB0"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b/>
          <w:szCs w:val="22"/>
        </w:rPr>
      </w:pPr>
      <w:r w:rsidRPr="001A5FB0">
        <w:rPr>
          <w:rFonts w:cs="Arial"/>
          <w:b/>
          <w:szCs w:val="22"/>
        </w:rPr>
        <w:t>Cash and Cash Equivalents</w:t>
      </w:r>
    </w:p>
    <w:p w14:paraId="26CB42EA" w14:textId="186F5C16" w:rsidR="00DB7904" w:rsidRDefault="00EF0C9C" w:rsidP="00EF0C9C">
      <w:pPr>
        <w:pStyle w:val="BodyText"/>
        <w:kinsoku w:val="0"/>
        <w:overflowPunct w:val="0"/>
        <w:spacing w:before="57"/>
        <w:ind w:right="389"/>
        <w:rPr>
          <w:rFonts w:cs="Arial"/>
          <w:spacing w:val="0"/>
          <w:sz w:val="22"/>
          <w:szCs w:val="22"/>
        </w:rPr>
      </w:pPr>
      <w:r w:rsidRPr="00EF0C9C">
        <w:rPr>
          <w:rFonts w:cs="Arial"/>
          <w:spacing w:val="0"/>
          <w:sz w:val="22"/>
          <w:szCs w:val="22"/>
        </w:rPr>
        <w:t xml:space="preserve">Cash and cash equivalents include short-term, highly liquid investments, such as money market funds, that are readily convertible to known amounts of cash and have original maturities of three months or less. </w:t>
      </w:r>
    </w:p>
    <w:p w14:paraId="7238017B" w14:textId="77777777" w:rsidR="00EF0C9C" w:rsidRPr="00EF0C9C" w:rsidRDefault="00EF0C9C" w:rsidP="00EF0C9C">
      <w:pPr>
        <w:pStyle w:val="BodyText"/>
        <w:kinsoku w:val="0"/>
        <w:overflowPunct w:val="0"/>
        <w:spacing w:before="57"/>
        <w:ind w:right="389"/>
        <w:rPr>
          <w:rFonts w:cs="Arial"/>
          <w:spacing w:val="0"/>
          <w:sz w:val="22"/>
          <w:szCs w:val="22"/>
        </w:rPr>
      </w:pPr>
    </w:p>
    <w:p w14:paraId="5ED2C41A" w14:textId="77777777" w:rsidR="00DB7904" w:rsidRPr="00563B0C" w:rsidRDefault="001A5FB0"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b/>
          <w:szCs w:val="22"/>
        </w:rPr>
      </w:pPr>
      <w:r w:rsidRPr="001A5FB0">
        <w:rPr>
          <w:rFonts w:cs="Arial"/>
          <w:b/>
          <w:szCs w:val="22"/>
        </w:rPr>
        <w:t>Valuation of Investment in Master Fund</w:t>
      </w:r>
    </w:p>
    <w:p w14:paraId="3912AE09" w14:textId="4F19B5D3" w:rsidR="00DB7904" w:rsidRDefault="00EF0C9C" w:rsidP="00EF0C9C">
      <w:pPr>
        <w:pStyle w:val="BodyText"/>
        <w:kinsoku w:val="0"/>
        <w:overflowPunct w:val="0"/>
        <w:spacing w:before="57"/>
        <w:ind w:right="389"/>
        <w:rPr>
          <w:rFonts w:cs="Arial"/>
          <w:spacing w:val="0"/>
          <w:sz w:val="22"/>
          <w:szCs w:val="22"/>
        </w:rPr>
      </w:pPr>
      <w:r w:rsidRPr="00EF0C9C">
        <w:rPr>
          <w:rFonts w:cs="Arial"/>
          <w:spacing w:val="0"/>
          <w:sz w:val="22"/>
          <w:szCs w:val="22"/>
        </w:rPr>
        <w:t xml:space="preserve">The Company records its investment in the Master Fund at the Net Asset Value as reported by the Master Fund, which is the Company’s proportionate interest in the net assets of the Master Fund. The performance of the Company is directly affected by the performance of the Master Fund and is subject to the same risks to which the Master Fund is subject. Valuation of investments held by the Master Fund, including, but not limited to the valuation techniques used and classification within the fair value hierarchy of investments held are discussed as follows: </w:t>
      </w:r>
    </w:p>
    <w:p w14:paraId="1E43FEA6" w14:textId="77777777" w:rsidR="00EF0C9C" w:rsidRPr="00EF0C9C" w:rsidRDefault="00EF0C9C" w:rsidP="00EF0C9C">
      <w:pPr>
        <w:pStyle w:val="BodyText"/>
        <w:kinsoku w:val="0"/>
        <w:overflowPunct w:val="0"/>
        <w:spacing w:before="57"/>
        <w:ind w:right="389"/>
        <w:rPr>
          <w:rFonts w:cs="Arial"/>
          <w:spacing w:val="0"/>
          <w:sz w:val="22"/>
          <w:szCs w:val="22"/>
        </w:rPr>
      </w:pPr>
    </w:p>
    <w:p w14:paraId="1CAB533B" w14:textId="77777777" w:rsidR="00DB7904" w:rsidRPr="00563B0C" w:rsidRDefault="001A5FB0"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b/>
          <w:szCs w:val="22"/>
        </w:rPr>
      </w:pPr>
      <w:r w:rsidRPr="001A5FB0">
        <w:rPr>
          <w:rFonts w:cs="Arial"/>
          <w:b/>
          <w:szCs w:val="22"/>
        </w:rPr>
        <w:t>Fair Value - Definition and Hierarchy (Master Fund)</w:t>
      </w:r>
    </w:p>
    <w:p w14:paraId="0C81B157" w14:textId="77777777" w:rsidR="00EF0C9C" w:rsidRDefault="00EF0C9C" w:rsidP="00261BD5">
      <w:pPr>
        <w:pStyle w:val="BodyText"/>
        <w:kinsoku w:val="0"/>
        <w:overflowPunct w:val="0"/>
        <w:spacing w:before="57"/>
        <w:ind w:right="391"/>
        <w:contextualSpacing/>
        <w:rPr>
          <w:rFonts w:cs="Arial"/>
          <w:spacing w:val="0"/>
          <w:sz w:val="22"/>
          <w:szCs w:val="22"/>
        </w:rPr>
      </w:pPr>
      <w:r w:rsidRPr="00EF0C9C">
        <w:rPr>
          <w:rFonts w:cs="Arial"/>
          <w:spacing w:val="0"/>
          <w:sz w:val="22"/>
          <w:szCs w:val="22"/>
        </w:rPr>
        <w:t xml:space="preserve">Fair value is defined as the price that would be received to sell an asset or paid to transfer a liability (i.e., the “exit price”) in an orderly transaction between market participants at the measurement date. </w:t>
      </w:r>
    </w:p>
    <w:p w14:paraId="53804615" w14:textId="77777777" w:rsidR="00261BD5" w:rsidRPr="00EF0C9C" w:rsidRDefault="00261BD5" w:rsidP="00261BD5">
      <w:pPr>
        <w:pStyle w:val="BodyText"/>
        <w:kinsoku w:val="0"/>
        <w:overflowPunct w:val="0"/>
        <w:spacing w:before="57"/>
        <w:ind w:right="391"/>
        <w:contextualSpacing/>
        <w:rPr>
          <w:rFonts w:cs="Arial"/>
          <w:spacing w:val="0"/>
          <w:sz w:val="22"/>
          <w:szCs w:val="22"/>
        </w:rPr>
      </w:pPr>
    </w:p>
    <w:p w14:paraId="667D00A3" w14:textId="5769EDF1" w:rsidR="00EF0C9C" w:rsidRDefault="00EF0C9C" w:rsidP="00261BD5">
      <w:pPr>
        <w:pStyle w:val="BodyText"/>
        <w:kinsoku w:val="0"/>
        <w:overflowPunct w:val="0"/>
        <w:spacing w:before="57"/>
        <w:ind w:right="391"/>
        <w:contextualSpacing/>
        <w:rPr>
          <w:rFonts w:cs="Arial"/>
          <w:spacing w:val="0"/>
          <w:sz w:val="22"/>
          <w:szCs w:val="22"/>
        </w:rPr>
      </w:pPr>
      <w:r w:rsidRPr="00EF0C9C">
        <w:rPr>
          <w:rFonts w:cs="Arial"/>
          <w:spacing w:val="0"/>
          <w:sz w:val="22"/>
          <w:szCs w:val="22"/>
        </w:rPr>
        <w:t xml:space="preserve">In determining fair value, the Investment Manager uses various valuation approaches. A fair value hierarchy for inputs is used in measuring fair value that </w:t>
      </w:r>
      <w:proofErr w:type="spellStart"/>
      <w:r w:rsidRPr="00EF0C9C">
        <w:rPr>
          <w:rFonts w:cs="Arial"/>
          <w:spacing w:val="0"/>
          <w:sz w:val="22"/>
          <w:szCs w:val="22"/>
        </w:rPr>
        <w:t>maximises</w:t>
      </w:r>
      <w:proofErr w:type="spellEnd"/>
      <w:r w:rsidRPr="00EF0C9C">
        <w:rPr>
          <w:rFonts w:cs="Arial"/>
          <w:spacing w:val="0"/>
          <w:sz w:val="22"/>
          <w:szCs w:val="22"/>
        </w:rPr>
        <w:t xml:space="preserve"> the use of observable inputs and </w:t>
      </w:r>
      <w:proofErr w:type="spellStart"/>
      <w:r w:rsidRPr="00EF0C9C">
        <w:rPr>
          <w:rFonts w:cs="Arial"/>
          <w:spacing w:val="0"/>
          <w:sz w:val="22"/>
          <w:szCs w:val="22"/>
        </w:rPr>
        <w:t>minimises</w:t>
      </w:r>
      <w:proofErr w:type="spellEnd"/>
      <w:r w:rsidRPr="00EF0C9C">
        <w:rPr>
          <w:rFonts w:cs="Arial"/>
          <w:spacing w:val="0"/>
          <w:sz w:val="22"/>
          <w:szCs w:val="22"/>
        </w:rPr>
        <w:t xml:space="preserve"> the use of unobservable inputs by requiring that the most observable inputs are to be used when available. Observable inputs are those that market participants would use in pricing the asset or liability based on market data obtained from sources independent of the Investment Manager. Unobservable inputs reflect the assumptions of the Investment Manager in conjunction with the Board of Directors of the Master Fund (the “Board of the Master Fund”) about the inputs market participants would use in pricing the asset or liability developed based on the best information available in the circumstances. The fair value hierarchy is </w:t>
      </w:r>
      <w:proofErr w:type="spellStart"/>
      <w:r w:rsidRPr="00EF0C9C">
        <w:rPr>
          <w:rFonts w:cs="Arial"/>
          <w:spacing w:val="0"/>
          <w:sz w:val="22"/>
          <w:szCs w:val="22"/>
        </w:rPr>
        <w:t>categorised</w:t>
      </w:r>
      <w:proofErr w:type="spellEnd"/>
      <w:r w:rsidRPr="00EF0C9C">
        <w:rPr>
          <w:rFonts w:cs="Arial"/>
          <w:spacing w:val="0"/>
          <w:sz w:val="22"/>
          <w:szCs w:val="22"/>
        </w:rPr>
        <w:t xml:space="preserve"> into three levels based on the inputs as follows: </w:t>
      </w:r>
    </w:p>
    <w:p w14:paraId="78CA0E59" w14:textId="77777777" w:rsidR="0067084F" w:rsidRPr="00EF0C9C" w:rsidRDefault="0067084F" w:rsidP="00261BD5">
      <w:pPr>
        <w:pStyle w:val="BodyText"/>
        <w:kinsoku w:val="0"/>
        <w:overflowPunct w:val="0"/>
        <w:spacing w:before="57"/>
        <w:ind w:right="391"/>
        <w:contextualSpacing/>
        <w:rPr>
          <w:rFonts w:cs="Arial"/>
          <w:spacing w:val="0"/>
          <w:sz w:val="22"/>
          <w:szCs w:val="22"/>
        </w:rPr>
      </w:pPr>
    </w:p>
    <w:p w14:paraId="648E6998" w14:textId="77777777" w:rsidR="00EF0C9C" w:rsidRDefault="00EF0C9C" w:rsidP="00261BD5">
      <w:pPr>
        <w:pStyle w:val="BodyText"/>
        <w:kinsoku w:val="0"/>
        <w:overflowPunct w:val="0"/>
        <w:spacing w:before="57"/>
        <w:ind w:right="391"/>
        <w:contextualSpacing/>
        <w:rPr>
          <w:rFonts w:cs="Arial"/>
          <w:spacing w:val="0"/>
          <w:sz w:val="22"/>
          <w:szCs w:val="22"/>
        </w:rPr>
      </w:pPr>
      <w:r w:rsidRPr="00EF0C9C">
        <w:rPr>
          <w:rFonts w:cs="Arial"/>
          <w:spacing w:val="0"/>
          <w:sz w:val="22"/>
          <w:szCs w:val="22"/>
        </w:rPr>
        <w:t xml:space="preserve">Level 1 - Valuations based on unadjusted quoted prices in active markets for identical assets or liabilities that the Master Fund has the ability to access. Valuation adjustments are not applied to Level 1 investments. Since valuations are based on quoted prices that are readily and regularly available in an active market, valuation of these investments does not entail a significant degree of judgment. </w:t>
      </w:r>
    </w:p>
    <w:p w14:paraId="530F82E4" w14:textId="77777777" w:rsidR="0067084F" w:rsidRPr="00EF0C9C" w:rsidRDefault="0067084F" w:rsidP="00261BD5">
      <w:pPr>
        <w:pStyle w:val="BodyText"/>
        <w:kinsoku w:val="0"/>
        <w:overflowPunct w:val="0"/>
        <w:spacing w:before="57"/>
        <w:ind w:right="391"/>
        <w:contextualSpacing/>
        <w:rPr>
          <w:rFonts w:cs="Arial"/>
          <w:spacing w:val="0"/>
          <w:sz w:val="22"/>
          <w:szCs w:val="22"/>
        </w:rPr>
      </w:pPr>
    </w:p>
    <w:p w14:paraId="4675DA23" w14:textId="77777777" w:rsidR="00EF0C9C" w:rsidRDefault="00EF0C9C" w:rsidP="00261BD5">
      <w:pPr>
        <w:pStyle w:val="BodyText"/>
        <w:kinsoku w:val="0"/>
        <w:overflowPunct w:val="0"/>
        <w:spacing w:before="57"/>
        <w:ind w:right="391"/>
        <w:contextualSpacing/>
        <w:rPr>
          <w:rFonts w:cs="Arial"/>
          <w:spacing w:val="0"/>
          <w:sz w:val="22"/>
          <w:szCs w:val="22"/>
        </w:rPr>
      </w:pPr>
      <w:r w:rsidRPr="00EF0C9C">
        <w:rPr>
          <w:rFonts w:cs="Arial"/>
          <w:spacing w:val="0"/>
          <w:sz w:val="22"/>
          <w:szCs w:val="22"/>
        </w:rPr>
        <w:t xml:space="preserve">Level 2 - Valuations based on quoted prices in markets that are not active or for which all significant inputs are observable, either directly or indirectly. </w:t>
      </w:r>
    </w:p>
    <w:p w14:paraId="151D59A5" w14:textId="77777777" w:rsidR="0067084F" w:rsidRPr="00EF0C9C" w:rsidRDefault="0067084F" w:rsidP="00261BD5">
      <w:pPr>
        <w:pStyle w:val="BodyText"/>
        <w:kinsoku w:val="0"/>
        <w:overflowPunct w:val="0"/>
        <w:spacing w:before="57"/>
        <w:ind w:right="391"/>
        <w:contextualSpacing/>
        <w:rPr>
          <w:rFonts w:cs="Arial"/>
          <w:spacing w:val="0"/>
          <w:sz w:val="22"/>
          <w:szCs w:val="22"/>
        </w:rPr>
      </w:pPr>
    </w:p>
    <w:p w14:paraId="323E5C77" w14:textId="77777777" w:rsidR="00EF0C9C" w:rsidRDefault="00EF0C9C" w:rsidP="00261BD5">
      <w:pPr>
        <w:pStyle w:val="BodyText"/>
        <w:kinsoku w:val="0"/>
        <w:overflowPunct w:val="0"/>
        <w:spacing w:before="57"/>
        <w:ind w:right="391"/>
        <w:contextualSpacing/>
        <w:rPr>
          <w:rFonts w:cs="Arial"/>
          <w:spacing w:val="0"/>
          <w:sz w:val="22"/>
          <w:szCs w:val="22"/>
        </w:rPr>
      </w:pPr>
      <w:r w:rsidRPr="00EF0C9C">
        <w:rPr>
          <w:rFonts w:cs="Arial"/>
          <w:spacing w:val="0"/>
          <w:sz w:val="22"/>
          <w:szCs w:val="22"/>
        </w:rPr>
        <w:t xml:space="preserve">Level 3 - Valuations based on inputs that are unobservable and significant to the overall fair value measurement. </w:t>
      </w:r>
    </w:p>
    <w:p w14:paraId="7A957752" w14:textId="77777777" w:rsidR="0067084F" w:rsidRPr="00EF0C9C" w:rsidRDefault="0067084F" w:rsidP="00261BD5">
      <w:pPr>
        <w:pStyle w:val="BodyText"/>
        <w:kinsoku w:val="0"/>
        <w:overflowPunct w:val="0"/>
        <w:spacing w:before="57"/>
        <w:ind w:right="391"/>
        <w:contextualSpacing/>
        <w:rPr>
          <w:rFonts w:cs="Arial"/>
          <w:spacing w:val="0"/>
          <w:sz w:val="22"/>
          <w:szCs w:val="22"/>
        </w:rPr>
      </w:pPr>
    </w:p>
    <w:p w14:paraId="1D6DFC5A" w14:textId="15DA1AF5" w:rsidR="00EF0C9C" w:rsidRDefault="00EF0C9C" w:rsidP="00261BD5">
      <w:pPr>
        <w:pStyle w:val="BodyText"/>
        <w:kinsoku w:val="0"/>
        <w:overflowPunct w:val="0"/>
        <w:spacing w:before="57"/>
        <w:ind w:right="391"/>
        <w:contextualSpacing/>
        <w:rPr>
          <w:rFonts w:cs="Arial"/>
          <w:spacing w:val="0"/>
          <w:sz w:val="22"/>
          <w:szCs w:val="22"/>
        </w:rPr>
      </w:pPr>
      <w:r w:rsidRPr="00EF0C9C">
        <w:rPr>
          <w:rFonts w:cs="Arial"/>
          <w:spacing w:val="0"/>
          <w:sz w:val="22"/>
          <w:szCs w:val="22"/>
        </w:rPr>
        <w:t xml:space="preserve">The availability of valuation techniques and observable inputs can vary from investment to investment and are affected by a wide variety of factors, including the type of investment, whether the investment is new and not yet established in the marketplace, and other characteristics particular to the transaction. To the extent that valuation is based on models or inputs that are less observable or unobservable in the market, the determination of fair value requires more judgment. Those estimated values do not necessarily represent the amounts that may be ultimately </w:t>
      </w:r>
      <w:proofErr w:type="spellStart"/>
      <w:r w:rsidRPr="00EF0C9C">
        <w:rPr>
          <w:rFonts w:cs="Arial"/>
          <w:spacing w:val="0"/>
          <w:sz w:val="22"/>
          <w:szCs w:val="22"/>
        </w:rPr>
        <w:t>realised</w:t>
      </w:r>
      <w:proofErr w:type="spellEnd"/>
      <w:r w:rsidRPr="00EF0C9C">
        <w:rPr>
          <w:rFonts w:cs="Arial"/>
          <w:spacing w:val="0"/>
          <w:sz w:val="22"/>
          <w:szCs w:val="22"/>
        </w:rPr>
        <w:t xml:space="preserve"> due to the occurrence of future circumstances that cannot be reasonably determined. Because of the inherent uncertainty of valuation, those estimated values may be materially higher or lower than the values that would have been used had a ready market for the investments existed. Accordingly, the degree of judgment exercised by the Investment Manager in determining fair value is greatest for investments </w:t>
      </w:r>
      <w:proofErr w:type="spellStart"/>
      <w:r w:rsidRPr="00EF0C9C">
        <w:rPr>
          <w:rFonts w:cs="Arial"/>
          <w:spacing w:val="0"/>
          <w:sz w:val="22"/>
          <w:szCs w:val="22"/>
        </w:rPr>
        <w:t>categorised</w:t>
      </w:r>
      <w:proofErr w:type="spellEnd"/>
      <w:r w:rsidRPr="00EF0C9C">
        <w:rPr>
          <w:rFonts w:cs="Arial"/>
          <w:spacing w:val="0"/>
          <w:sz w:val="22"/>
          <w:szCs w:val="22"/>
        </w:rPr>
        <w:t xml:space="preserve"> in Level 3 of the fair value hierarchy. In certain cases, the inputs used to measure fair value may fall into different levels of the fair value hierarchy. In such cases, for disclosure purposes, the level in the fair value hierarchy within which the fair value measurement falls in its entirety, is determined based on the lowest level input that is significant to the fair value measurement. </w:t>
      </w:r>
    </w:p>
    <w:p w14:paraId="2204C93D" w14:textId="77777777" w:rsidR="0067084F" w:rsidRPr="00EF0C9C" w:rsidRDefault="0067084F" w:rsidP="00261BD5">
      <w:pPr>
        <w:pStyle w:val="BodyText"/>
        <w:kinsoku w:val="0"/>
        <w:overflowPunct w:val="0"/>
        <w:spacing w:before="57"/>
        <w:ind w:right="391"/>
        <w:contextualSpacing/>
        <w:rPr>
          <w:rFonts w:cs="Arial"/>
          <w:spacing w:val="0"/>
          <w:sz w:val="22"/>
          <w:szCs w:val="22"/>
        </w:rPr>
      </w:pPr>
    </w:p>
    <w:p w14:paraId="5D2DC597" w14:textId="00ADB2E2" w:rsidR="00591815" w:rsidRPr="00EF0C9C" w:rsidRDefault="00EF0C9C" w:rsidP="00261BD5">
      <w:pPr>
        <w:pStyle w:val="BodyText"/>
        <w:kinsoku w:val="0"/>
        <w:overflowPunct w:val="0"/>
        <w:spacing w:before="57"/>
        <w:ind w:right="391"/>
        <w:contextualSpacing/>
        <w:rPr>
          <w:rFonts w:cs="Arial"/>
          <w:spacing w:val="0"/>
          <w:sz w:val="22"/>
          <w:szCs w:val="22"/>
        </w:rPr>
      </w:pPr>
      <w:r w:rsidRPr="00EF0C9C">
        <w:rPr>
          <w:rFonts w:cs="Arial"/>
          <w:spacing w:val="0"/>
          <w:sz w:val="22"/>
          <w:szCs w:val="22"/>
        </w:rPr>
        <w:t xml:space="preserve">Fair value is a market-based measure considered from the perspective of a market participant rather than an entity-specific measure. Therefore, even when market assumptions are not readily available, the Master Fund’s own assumptions are set to reflect those that market participants would use in pricing the asset or liability at the measurement date. The Master Fund uses prices and inputs that are current as of the measurement date, including periods of market dislocation. In periods of market dislocation, the observability of prices and inputs may be reduced for many investments. This condition could cause an investment to be reclassified to a lower level within the fair value hierarchy. </w:t>
      </w:r>
    </w:p>
    <w:p w14:paraId="40021F67" w14:textId="77777777" w:rsidR="00591815" w:rsidRPr="00563B0C" w:rsidRDefault="00591815"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p>
    <w:p w14:paraId="2C7B7B53" w14:textId="77777777" w:rsidR="00DB7904" w:rsidRPr="00563B0C" w:rsidRDefault="001A5FB0"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b/>
          <w:szCs w:val="22"/>
        </w:rPr>
      </w:pPr>
      <w:r w:rsidRPr="001A5FB0">
        <w:rPr>
          <w:rFonts w:cs="Arial"/>
          <w:b/>
          <w:szCs w:val="22"/>
        </w:rPr>
        <w:t>Fair Value - Valuation Techniques and Inputs</w:t>
      </w:r>
    </w:p>
    <w:p w14:paraId="1836EEE1" w14:textId="77777777" w:rsidR="00DB7904" w:rsidRPr="00563B0C" w:rsidRDefault="001A5FB0"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u w:val="single"/>
        </w:rPr>
      </w:pPr>
      <w:r w:rsidRPr="001A5FB0">
        <w:rPr>
          <w:rFonts w:cs="Arial"/>
          <w:szCs w:val="22"/>
          <w:u w:val="single"/>
        </w:rPr>
        <w:t>Investments in Securities (Master Fund)</w:t>
      </w:r>
    </w:p>
    <w:p w14:paraId="0E76EB68" w14:textId="77777777" w:rsidR="00DB7904" w:rsidRPr="00563B0C" w:rsidRDefault="00DB7904"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p>
    <w:p w14:paraId="0331BB11" w14:textId="77777777" w:rsidR="00DB7904" w:rsidRDefault="00470F7D"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r>
        <w:rPr>
          <w:rFonts w:cs="Arial"/>
          <w:szCs w:val="22"/>
        </w:rPr>
        <w:t>The value of P</w:t>
      </w:r>
      <w:r w:rsidR="001A5FB0" w:rsidRPr="001A5FB0">
        <w:rPr>
          <w:rFonts w:cs="Arial"/>
          <w:szCs w:val="22"/>
        </w:rPr>
        <w:t xml:space="preserve">reference </w:t>
      </w:r>
      <w:r>
        <w:rPr>
          <w:rFonts w:cs="Arial"/>
          <w:szCs w:val="22"/>
        </w:rPr>
        <w:t>S</w:t>
      </w:r>
      <w:r w:rsidR="001A5FB0" w:rsidRPr="001A5FB0">
        <w:rPr>
          <w:rFonts w:cs="Arial"/>
          <w:szCs w:val="22"/>
        </w:rPr>
        <w:t>hares issued by the Reinsurer and subscribed for by the Master Fund and held with respect to a reinsurance agreement will equal:</w:t>
      </w:r>
    </w:p>
    <w:p w14:paraId="25E23D31" w14:textId="77777777" w:rsidR="00591815" w:rsidRPr="00563B0C" w:rsidRDefault="00591815"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p>
    <w:p w14:paraId="73523540" w14:textId="6FC6E8FD" w:rsidR="00DB7904" w:rsidRPr="00563B0C" w:rsidRDefault="001A5FB0" w:rsidP="000B0D31">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389" w:hanging="1080"/>
        <w:jc w:val="both"/>
        <w:rPr>
          <w:rFonts w:ascii="Arial" w:hAnsi="Arial" w:cs="Arial"/>
        </w:rPr>
      </w:pPr>
      <w:r w:rsidRPr="001A5FB0">
        <w:rPr>
          <w:rFonts w:ascii="Arial" w:hAnsi="Arial" w:cs="Arial"/>
        </w:rPr>
        <w:t>the amou</w:t>
      </w:r>
      <w:r w:rsidR="00EF0C9C">
        <w:rPr>
          <w:rFonts w:ascii="Arial" w:hAnsi="Arial" w:cs="Arial"/>
        </w:rPr>
        <w:t>nt of capital invested in such preference s</w:t>
      </w:r>
      <w:r w:rsidRPr="001A5FB0">
        <w:rPr>
          <w:rFonts w:ascii="Arial" w:hAnsi="Arial" w:cs="Arial"/>
        </w:rPr>
        <w:t>hares; plus</w:t>
      </w:r>
    </w:p>
    <w:p w14:paraId="33D1CECA" w14:textId="77777777" w:rsidR="00DB7904" w:rsidRPr="00563B0C" w:rsidRDefault="00DB7904" w:rsidP="0059181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ight="389"/>
        <w:jc w:val="both"/>
        <w:rPr>
          <w:rFonts w:ascii="Arial" w:hAnsi="Arial" w:cs="Arial"/>
        </w:rPr>
      </w:pPr>
    </w:p>
    <w:p w14:paraId="12F6DCA6" w14:textId="77777777" w:rsidR="00DB7904" w:rsidRPr="00563B0C" w:rsidRDefault="001A5FB0" w:rsidP="000B0D31">
      <w:pPr>
        <w:pStyle w:val="ListParagraph"/>
        <w:widowControl w:val="0"/>
        <w:numPr>
          <w:ilvl w:val="0"/>
          <w:numId w:val="4"/>
        </w:numPr>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right="389" w:hanging="540"/>
        <w:jc w:val="both"/>
        <w:rPr>
          <w:rFonts w:ascii="Arial" w:hAnsi="Arial" w:cs="Arial"/>
        </w:rPr>
      </w:pPr>
      <w:r w:rsidRPr="001A5FB0">
        <w:rPr>
          <w:rFonts w:ascii="Arial" w:hAnsi="Arial" w:cs="Arial"/>
        </w:rPr>
        <w:t xml:space="preserve">the amount of earned premium (as described below) that has been earned </w:t>
      </w:r>
      <w:r w:rsidR="003D290D" w:rsidRPr="001A5FB0">
        <w:rPr>
          <w:rFonts w:ascii="Arial" w:hAnsi="Arial" w:cs="Arial"/>
        </w:rPr>
        <w:t>period</w:t>
      </w:r>
      <w:r w:rsidR="00E3336E">
        <w:rPr>
          <w:rFonts w:ascii="Arial" w:hAnsi="Arial" w:cs="Arial"/>
        </w:rPr>
        <w:t>-</w:t>
      </w:r>
      <w:r w:rsidRPr="001A5FB0">
        <w:rPr>
          <w:rFonts w:ascii="Arial" w:hAnsi="Arial" w:cs="Arial"/>
        </w:rPr>
        <w:t>to-date for such contract; plus</w:t>
      </w:r>
    </w:p>
    <w:p w14:paraId="237B87CD" w14:textId="77777777" w:rsidR="00DB7904" w:rsidRPr="00563B0C" w:rsidRDefault="00DB7904"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p>
    <w:p w14:paraId="55157F7D" w14:textId="278DE051" w:rsidR="00DB7904" w:rsidRPr="00563B0C" w:rsidRDefault="001A5FB0" w:rsidP="000B0D31">
      <w:pPr>
        <w:pStyle w:val="ListParagraph"/>
        <w:widowControl w:val="0"/>
        <w:numPr>
          <w:ilvl w:val="0"/>
          <w:numId w:val="4"/>
        </w:numPr>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right="389" w:hanging="540"/>
        <w:jc w:val="both"/>
        <w:rPr>
          <w:rFonts w:ascii="Arial" w:hAnsi="Arial" w:cs="Arial"/>
        </w:rPr>
      </w:pPr>
      <w:r w:rsidRPr="001A5FB0">
        <w:rPr>
          <w:rFonts w:ascii="Arial" w:hAnsi="Arial" w:cs="Arial"/>
        </w:rPr>
        <w:t>the amount of the investment earnings earned to date on bot</w:t>
      </w:r>
      <w:r w:rsidR="00EF0C9C">
        <w:rPr>
          <w:rFonts w:ascii="Arial" w:hAnsi="Arial" w:cs="Arial"/>
        </w:rPr>
        <w:t>h the capital invested in such preference s</w:t>
      </w:r>
      <w:r w:rsidRPr="001A5FB0">
        <w:rPr>
          <w:rFonts w:ascii="Arial" w:hAnsi="Arial" w:cs="Arial"/>
        </w:rPr>
        <w:t>hares and the associated reinsurance premiums in respect of such contract; minus</w:t>
      </w:r>
    </w:p>
    <w:p w14:paraId="34C8CB35" w14:textId="77777777" w:rsidR="00DB7904" w:rsidRPr="00563B0C" w:rsidRDefault="00DB7904"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p>
    <w:p w14:paraId="16288035" w14:textId="77777777" w:rsidR="00DB7904" w:rsidRDefault="001A5FB0" w:rsidP="000B0D31">
      <w:pPr>
        <w:pStyle w:val="ListParagraph"/>
        <w:widowControl w:val="0"/>
        <w:numPr>
          <w:ilvl w:val="0"/>
          <w:numId w:val="4"/>
        </w:numPr>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right="389" w:hanging="540"/>
        <w:jc w:val="both"/>
        <w:rPr>
          <w:rFonts w:ascii="Arial" w:hAnsi="Arial" w:cs="Arial"/>
        </w:rPr>
      </w:pPr>
      <w:r w:rsidRPr="001A5FB0">
        <w:rPr>
          <w:rFonts w:ascii="Arial" w:hAnsi="Arial" w:cs="Arial"/>
        </w:rPr>
        <w:t xml:space="preserve">the </w:t>
      </w:r>
      <w:r w:rsidR="00111642">
        <w:rPr>
          <w:rFonts w:ascii="Arial" w:hAnsi="Arial" w:cs="Arial"/>
        </w:rPr>
        <w:t>fair value</w:t>
      </w:r>
      <w:r w:rsidRPr="001A5FB0">
        <w:rPr>
          <w:rFonts w:ascii="Arial" w:hAnsi="Arial" w:cs="Arial"/>
        </w:rPr>
        <w:t xml:space="preserve"> of any loss estimates associated with potential claims triggering covered events (see "</w:t>
      </w:r>
      <w:r w:rsidR="00EC0938">
        <w:rPr>
          <w:rFonts w:ascii="Arial" w:hAnsi="Arial" w:cs="Arial"/>
        </w:rPr>
        <w:t>Covered Event Estimates" below); minus</w:t>
      </w:r>
    </w:p>
    <w:p w14:paraId="2ACB1D77" w14:textId="77777777" w:rsidR="00591815" w:rsidRPr="00591815" w:rsidRDefault="00591815" w:rsidP="00591815">
      <w:pPr>
        <w:pStyle w:val="ListParagraph"/>
        <w:rPr>
          <w:rFonts w:ascii="Arial" w:hAnsi="Arial" w:cs="Arial"/>
        </w:rPr>
      </w:pPr>
    </w:p>
    <w:p w14:paraId="4D361826" w14:textId="13644390" w:rsidR="00591815" w:rsidRPr="00591815" w:rsidRDefault="00EF0C9C" w:rsidP="000B0D31">
      <w:pPr>
        <w:pStyle w:val="ListParagraph"/>
        <w:widowControl w:val="0"/>
        <w:numPr>
          <w:ilvl w:val="0"/>
          <w:numId w:val="4"/>
        </w:numPr>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40" w:right="389" w:hanging="540"/>
        <w:jc w:val="both"/>
        <w:rPr>
          <w:rFonts w:ascii="Arial" w:hAnsi="Arial" w:cs="Arial"/>
        </w:rPr>
      </w:pPr>
      <w:proofErr w:type="gramStart"/>
      <w:r>
        <w:rPr>
          <w:rFonts w:ascii="Arial" w:hAnsi="Arial" w:cs="Arial"/>
        </w:rPr>
        <w:t>t</w:t>
      </w:r>
      <w:r w:rsidR="00591815" w:rsidRPr="00591815">
        <w:rPr>
          <w:rFonts w:ascii="Arial" w:hAnsi="Arial" w:cs="Arial"/>
        </w:rPr>
        <w:t>he</w:t>
      </w:r>
      <w:proofErr w:type="gramEnd"/>
      <w:r w:rsidR="00591815" w:rsidRPr="00591815">
        <w:rPr>
          <w:rFonts w:ascii="Arial" w:hAnsi="Arial" w:cs="Arial"/>
        </w:rPr>
        <w:t xml:space="preserve"> amount of any risk margin considered necessary to reﬂect uncertainty and to compensate a market participant for bearing the uncertainty of cash ﬂows in an exit of the transaction.</w:t>
      </w:r>
    </w:p>
    <w:p w14:paraId="2F49534E" w14:textId="77777777" w:rsidR="00DB7904" w:rsidRPr="00563B0C" w:rsidRDefault="00DB7904"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p>
    <w:p w14:paraId="49C89803" w14:textId="6659BFBB" w:rsidR="00EF0C9C" w:rsidRDefault="00EF0C9C" w:rsidP="00EF0C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r w:rsidRPr="00EF0C9C">
        <w:rPr>
          <w:rFonts w:cs="Arial"/>
          <w:szCs w:val="22"/>
        </w:rPr>
        <w:t xml:space="preserve">The value of preference shares issued by the Reinsurer will also </w:t>
      </w:r>
      <w:proofErr w:type="spellStart"/>
      <w:r w:rsidRPr="00EF0C9C">
        <w:rPr>
          <w:rFonts w:cs="Arial"/>
          <w:szCs w:val="22"/>
        </w:rPr>
        <w:t>recognise</w:t>
      </w:r>
      <w:proofErr w:type="spellEnd"/>
      <w:r w:rsidRPr="00EF0C9C">
        <w:rPr>
          <w:rFonts w:cs="Arial"/>
          <w:szCs w:val="22"/>
        </w:rPr>
        <w:t xml:space="preserve"> expens</w:t>
      </w:r>
      <w:r>
        <w:rPr>
          <w:rFonts w:cs="Arial"/>
          <w:szCs w:val="22"/>
        </w:rPr>
        <w:t>es which are directly attribut</w:t>
      </w:r>
      <w:r w:rsidRPr="00EF0C9C">
        <w:rPr>
          <w:rFonts w:cs="Arial"/>
          <w:szCs w:val="22"/>
        </w:rPr>
        <w:t>able to the Master Fund as a result of the Reinsurer conducting reinsurance activities that inure to the benefit or detriment of the Master Fund. To the extent that the inputs into the valuation</w:t>
      </w:r>
      <w:r>
        <w:rPr>
          <w:rFonts w:cs="Arial"/>
          <w:szCs w:val="22"/>
        </w:rPr>
        <w:t xml:space="preserve"> of preference shares are unob</w:t>
      </w:r>
      <w:r w:rsidRPr="00EF0C9C">
        <w:rPr>
          <w:rFonts w:cs="Arial"/>
          <w:szCs w:val="22"/>
        </w:rPr>
        <w:t xml:space="preserve">servable, the preference shares would be classified as Level 3 within the fair value hierarchy. </w:t>
      </w:r>
    </w:p>
    <w:p w14:paraId="30BF6BBF" w14:textId="77777777" w:rsidR="00EF0C9C" w:rsidRPr="00EF0C9C" w:rsidRDefault="00EF0C9C" w:rsidP="00EF0C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b/>
          <w:szCs w:val="22"/>
        </w:rPr>
      </w:pPr>
    </w:p>
    <w:p w14:paraId="4967A3E7" w14:textId="77777777" w:rsidR="00EF0C9C" w:rsidRPr="00EF0C9C" w:rsidRDefault="00EF0C9C" w:rsidP="00EF0C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b/>
          <w:szCs w:val="22"/>
        </w:rPr>
      </w:pPr>
      <w:r w:rsidRPr="00EF0C9C">
        <w:rPr>
          <w:rFonts w:cs="Arial"/>
          <w:b/>
          <w:szCs w:val="22"/>
        </w:rPr>
        <w:t xml:space="preserve">Derivative Financial Instruments </w:t>
      </w:r>
    </w:p>
    <w:p w14:paraId="2807A372" w14:textId="77777777" w:rsidR="00EF0C9C" w:rsidRDefault="00EF0C9C" w:rsidP="00EF0C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r w:rsidRPr="00EF0C9C">
        <w:rPr>
          <w:rFonts w:cs="Arial"/>
          <w:szCs w:val="22"/>
        </w:rPr>
        <w:t xml:space="preserve">The Master Fund uses derivative financial instruments such as ILWs, which are recorded at fair value as at the reporting date. </w:t>
      </w:r>
      <w:proofErr w:type="spellStart"/>
      <w:r w:rsidRPr="00EF0C9C">
        <w:rPr>
          <w:rFonts w:cs="Arial"/>
          <w:szCs w:val="22"/>
        </w:rPr>
        <w:t>Realised</w:t>
      </w:r>
      <w:proofErr w:type="spellEnd"/>
      <w:r w:rsidRPr="00EF0C9C">
        <w:rPr>
          <w:rFonts w:cs="Arial"/>
          <w:szCs w:val="22"/>
        </w:rPr>
        <w:t xml:space="preserve"> and </w:t>
      </w:r>
      <w:proofErr w:type="spellStart"/>
      <w:r w:rsidRPr="00EF0C9C">
        <w:rPr>
          <w:rFonts w:cs="Arial"/>
          <w:szCs w:val="22"/>
        </w:rPr>
        <w:t>unrealised</w:t>
      </w:r>
      <w:proofErr w:type="spellEnd"/>
      <w:r w:rsidRPr="00EF0C9C">
        <w:rPr>
          <w:rFonts w:cs="Arial"/>
          <w:szCs w:val="22"/>
        </w:rPr>
        <w:t xml:space="preserve"> appreciation or depreciation in fair values </w:t>
      </w:r>
      <w:proofErr w:type="gramStart"/>
      <w:r w:rsidRPr="00EF0C9C">
        <w:rPr>
          <w:rFonts w:cs="Arial"/>
          <w:szCs w:val="22"/>
        </w:rPr>
        <w:t>are</w:t>
      </w:r>
      <w:proofErr w:type="gramEnd"/>
      <w:r w:rsidRPr="00EF0C9C">
        <w:rPr>
          <w:rFonts w:cs="Arial"/>
          <w:szCs w:val="22"/>
        </w:rPr>
        <w:t xml:space="preserve"> included in net gain on securities and derivatives in the Statements of Operations in the period in which the changes occur. </w:t>
      </w:r>
    </w:p>
    <w:p w14:paraId="76F9D0F5" w14:textId="77777777" w:rsidR="00EF0C9C" w:rsidRPr="00EF0C9C" w:rsidRDefault="00EF0C9C" w:rsidP="00EF0C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p>
    <w:p w14:paraId="742C0A68" w14:textId="6B48EBC3" w:rsidR="00EF0C9C" w:rsidRPr="00EF0C9C" w:rsidRDefault="00EF0C9C" w:rsidP="00EF0C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r w:rsidRPr="00EF0C9C">
        <w:rPr>
          <w:rFonts w:cs="Arial"/>
          <w:szCs w:val="22"/>
        </w:rPr>
        <w:t xml:space="preserve">The fair value of derivative financial instruments at the reporting date generally reflects the amount that the Master Fund would receive or pay to terminate the contract at the reporting date. These derivative financial instruments used by the Master Fund are fair valued similar to preference shares held with respect to reinsurance agreements, unless otherwise unavailable, except that following a Covered Event, loss information from the index provider on the trade will be used. </w:t>
      </w:r>
    </w:p>
    <w:p w14:paraId="45E2ED93" w14:textId="77777777" w:rsidR="00DB7904" w:rsidRPr="00563B0C" w:rsidRDefault="00DB7904"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p>
    <w:p w14:paraId="2DC0F034" w14:textId="77777777" w:rsidR="00DB7904" w:rsidRDefault="001A5FB0"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b/>
          <w:szCs w:val="22"/>
        </w:rPr>
      </w:pPr>
      <w:r w:rsidRPr="00E3336E">
        <w:rPr>
          <w:rFonts w:cs="Arial"/>
          <w:b/>
          <w:szCs w:val="22"/>
        </w:rPr>
        <w:t xml:space="preserve">Investments in Securities held by the Reinsurer </w:t>
      </w:r>
    </w:p>
    <w:p w14:paraId="6D9A93A3" w14:textId="77777777" w:rsidR="00DB7904" w:rsidRPr="00563B0C" w:rsidRDefault="00DB7904"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p>
    <w:p w14:paraId="5E1ED205" w14:textId="77777777" w:rsidR="00DB7904" w:rsidRPr="00563B0C" w:rsidRDefault="001A5FB0"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b/>
          <w:szCs w:val="22"/>
        </w:rPr>
      </w:pPr>
      <w:r w:rsidRPr="001A5FB0">
        <w:rPr>
          <w:rFonts w:cs="Arial"/>
          <w:b/>
          <w:szCs w:val="22"/>
        </w:rPr>
        <w:t>Earned Premiums</w:t>
      </w:r>
    </w:p>
    <w:p w14:paraId="48E6F741" w14:textId="6CBC07D2" w:rsidR="00DB7904" w:rsidRPr="00A217D6" w:rsidRDefault="00D83AC5" w:rsidP="00A217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r w:rsidRPr="00D83AC5">
        <w:rPr>
          <w:rFonts w:cs="Arial"/>
          <w:szCs w:val="22"/>
        </w:rPr>
        <w:t xml:space="preserve">Premiums shall be considered earned with respect to computing the Master Fund’s Net Asset Value in direct proportion to the percentage of the risk that is deemed to have expired year-to-date. Generally, all premiums, net of acquisition costs, shall be earned uniformly over each month of the risk period. However, for certain risks, there is a clearly demonstrable seasonality associated with these risks. Accordingly, seasonality factors are </w:t>
      </w:r>
      <w:proofErr w:type="spellStart"/>
      <w:r w:rsidRPr="00D83AC5">
        <w:rPr>
          <w:rFonts w:cs="Arial"/>
          <w:szCs w:val="22"/>
        </w:rPr>
        <w:t>utilised</w:t>
      </w:r>
      <w:proofErr w:type="spellEnd"/>
      <w:r w:rsidRPr="00D83AC5">
        <w:rPr>
          <w:rFonts w:cs="Arial"/>
          <w:szCs w:val="22"/>
        </w:rPr>
        <w:t xml:space="preserve"> for the establishment of certain investments, including preference shares</w:t>
      </w:r>
      <w:r>
        <w:rPr>
          <w:rFonts w:cs="Arial"/>
          <w:szCs w:val="22"/>
        </w:rPr>
        <w:t xml:space="preserve"> relating to reinsurance agree</w:t>
      </w:r>
      <w:r w:rsidRPr="00D83AC5">
        <w:rPr>
          <w:rFonts w:cs="Arial"/>
          <w:szCs w:val="22"/>
        </w:rPr>
        <w:t>ments, ILWs and risk transfer derivative agreements, where applicable. Prior to the investment in any seasonal contract, the Investment Manager is required to produce a schedule of seasonality factors, which will govern the income recognition and related fair value price for such seasonal contract in the absence of a covered event. The Investment Manager may rely on catastrophe modeling software, historical catastrophe loss information or other information sources it deems reliable to produce the seasonality factors for each seasonal contract. Once established, the seasonality factors do not change unless for a significant outlying catastrophic event</w:t>
      </w:r>
      <w:r w:rsidRPr="00A217D6">
        <w:rPr>
          <w:rFonts w:cs="Arial"/>
          <w:szCs w:val="22"/>
        </w:rPr>
        <w:t xml:space="preserve">. </w:t>
      </w:r>
    </w:p>
    <w:p w14:paraId="7A94B566" w14:textId="77777777" w:rsidR="003B5663" w:rsidRDefault="003B5663"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b/>
          <w:szCs w:val="22"/>
        </w:rPr>
      </w:pPr>
    </w:p>
    <w:p w14:paraId="5FA85D17" w14:textId="77777777" w:rsidR="00DB7904" w:rsidRPr="00563B0C" w:rsidRDefault="001A5FB0"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b/>
          <w:szCs w:val="22"/>
        </w:rPr>
      </w:pPr>
      <w:r w:rsidRPr="001A5FB0">
        <w:rPr>
          <w:rFonts w:cs="Arial"/>
          <w:b/>
          <w:szCs w:val="22"/>
        </w:rPr>
        <w:t>Covered Event Estimates</w:t>
      </w:r>
    </w:p>
    <w:p w14:paraId="2977AA6E" w14:textId="678991F9" w:rsidR="00DB7904" w:rsidRPr="00563B0C" w:rsidRDefault="00D83AC5" w:rsidP="00A217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r w:rsidRPr="00D83AC5">
        <w:rPr>
          <w:rFonts w:cs="Arial"/>
          <w:szCs w:val="22"/>
        </w:rPr>
        <w:t xml:space="preserve">The Investment Manager provides monthly loss estimates for all incurred loss events (“Covered Events”) potentially affecting investments relating to a reinsurance agreement of the Reinsurer. As the Reinsurer’s reinsurance agreements are fully </w:t>
      </w:r>
      <w:proofErr w:type="spellStart"/>
      <w:r w:rsidRPr="00D83AC5">
        <w:rPr>
          <w:rFonts w:cs="Arial"/>
          <w:szCs w:val="22"/>
        </w:rPr>
        <w:t>collateralised</w:t>
      </w:r>
      <w:proofErr w:type="spellEnd"/>
      <w:r w:rsidRPr="00D83AC5">
        <w:rPr>
          <w:rFonts w:cs="Arial"/>
          <w:szCs w:val="22"/>
        </w:rPr>
        <w:t xml:space="preserve">, any loss estimates above the contractual thresholds as contained in the reinsurance agreements will require capital to be held in a continuing reinsurance trust account with respect to the maximum contract exposure with respect to the applicable Covered Event. </w:t>
      </w:r>
    </w:p>
    <w:p w14:paraId="36000769" w14:textId="77777777" w:rsidR="003B5663" w:rsidRDefault="003B5663"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b/>
          <w:szCs w:val="22"/>
        </w:rPr>
      </w:pPr>
    </w:p>
    <w:p w14:paraId="6ED1F4A8" w14:textId="77777777" w:rsidR="00DB7904" w:rsidRPr="00563B0C" w:rsidRDefault="001A5FB0"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b/>
          <w:szCs w:val="22"/>
        </w:rPr>
      </w:pPr>
      <w:r w:rsidRPr="001A5FB0">
        <w:rPr>
          <w:rFonts w:cs="Arial"/>
          <w:b/>
          <w:szCs w:val="22"/>
        </w:rPr>
        <w:t>“Fair Value” Pricing used by the Master Fund</w:t>
      </w:r>
    </w:p>
    <w:p w14:paraId="3F13E133" w14:textId="23B1DA4C" w:rsidR="00D83AC5" w:rsidRDefault="00D83AC5" w:rsidP="00A217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r w:rsidRPr="00D83AC5">
        <w:rPr>
          <w:rFonts w:cs="Arial"/>
          <w:szCs w:val="22"/>
        </w:rPr>
        <w:t xml:space="preserve">Any investment that cannot be reliably valued using the principles set forth above (a “Fair Value Instrument”) is marked at its fair value, based upon an estimate made by the Investment Manager, in good faith and in consultation or coordination with Prime Management Limited (the “Administrator”) where practicable, using what the Investment Manager believes in its discretion are appropriate techniques consistent with market practices for the relevant type of investment. Fair valuation in this context depends on the facts and circumstances of the particular investment, including but not limited to prevailing market and other relevant conditions, and refers to the amount for which a financial instrument could be exchanged between knowledgeable, willing parties in an arm’s length transaction. Fair value is not the amount that an entity would receive or pay in a forced transaction or involuntary liquidation. </w:t>
      </w:r>
    </w:p>
    <w:p w14:paraId="3A291CA3" w14:textId="77777777" w:rsidR="003B5663" w:rsidRPr="00D83AC5" w:rsidRDefault="003B5663" w:rsidP="00A217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p>
    <w:p w14:paraId="6EE1A48F" w14:textId="79104B1B" w:rsidR="00D83AC5" w:rsidRDefault="00D83AC5" w:rsidP="00A217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r w:rsidRPr="00D83AC5">
        <w:rPr>
          <w:rFonts w:cs="Arial"/>
          <w:szCs w:val="22"/>
        </w:rPr>
        <w:t xml:space="preserve">The process used to estimate a fair value for an investment may include a single technique or, where appropriate, multiple valuation techniques, and may include (without limitation and in the discretion of the Investment Manager, or in the discretion of the Administrator subject to review by the Investment Manager where practicable) the consideration of one or more of the following factors (to the extent relevant): the cost of the investment to the Master Fund, a review of comparable sales (if any), a discounted cash flow analysis, an analysis of cash flow multiples, a review of third-party appraisals, other material developments in the investment (even if subsequent to the valuation date), and other factors. </w:t>
      </w:r>
    </w:p>
    <w:p w14:paraId="563C7CB8" w14:textId="77777777" w:rsidR="003B5663" w:rsidRPr="00D83AC5" w:rsidRDefault="003B5663" w:rsidP="00A217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p>
    <w:p w14:paraId="6172FC88" w14:textId="674200A2" w:rsidR="00D83AC5" w:rsidRDefault="00D83AC5" w:rsidP="00A217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r w:rsidRPr="00D83AC5">
        <w:rPr>
          <w:rFonts w:cs="Arial"/>
          <w:szCs w:val="22"/>
        </w:rPr>
        <w:t xml:space="preserve">For each Fair Value Instrument, the Investment Manager and/or the Administrator, may as practicable, endeavor to obtain quotes from broker-dealers that are market makers in the related asset </w:t>
      </w:r>
      <w:r>
        <w:rPr>
          <w:rFonts w:cs="Arial"/>
          <w:szCs w:val="22"/>
        </w:rPr>
        <w:t>class, counterparties, the Mas</w:t>
      </w:r>
      <w:r w:rsidRPr="00D83AC5">
        <w:rPr>
          <w:rFonts w:cs="Arial"/>
          <w:szCs w:val="22"/>
        </w:rPr>
        <w:t xml:space="preserve">ter Fund’s prime brokers or lending agents and/or pricing services. The Investment Manager, may, but will not be required to, input pricing information into models (including models that are developed by the Investment Manager or by third parties) to determine whether the quotations accurately reflect fair value. </w:t>
      </w:r>
    </w:p>
    <w:p w14:paraId="69898113" w14:textId="77777777" w:rsidR="003B5663" w:rsidRPr="00D83AC5" w:rsidRDefault="003B5663" w:rsidP="00A217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p>
    <w:p w14:paraId="134ECD8B" w14:textId="77777777" w:rsidR="00D83AC5" w:rsidRDefault="00D83AC5" w:rsidP="00A217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r w:rsidRPr="00D83AC5">
        <w:rPr>
          <w:rFonts w:cs="Arial"/>
          <w:szCs w:val="22"/>
        </w:rPr>
        <w:t xml:space="preserve">In addition, the Investment Manager, </w:t>
      </w:r>
      <w:proofErr w:type="gramStart"/>
      <w:r w:rsidRPr="00D83AC5">
        <w:rPr>
          <w:rFonts w:cs="Arial"/>
          <w:szCs w:val="22"/>
        </w:rPr>
        <w:t>may</w:t>
      </w:r>
      <w:proofErr w:type="gramEnd"/>
      <w:r w:rsidRPr="00D83AC5">
        <w:rPr>
          <w:rFonts w:cs="Arial"/>
          <w:szCs w:val="22"/>
        </w:rPr>
        <w:t xml:space="preserve"> in its discretion, consult with the members of the investment team to determine the appropriate valuation of an instrument or additional valuation techniques that may be helpful to such valuation. </w:t>
      </w:r>
    </w:p>
    <w:p w14:paraId="5B2994C3" w14:textId="77777777" w:rsidR="003B5663" w:rsidRPr="00D83AC5" w:rsidRDefault="003B5663" w:rsidP="00A217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p>
    <w:p w14:paraId="513002B2" w14:textId="285486FD" w:rsidR="00D83AC5" w:rsidRDefault="00D83AC5" w:rsidP="00A217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r w:rsidRPr="00D83AC5">
        <w:rPr>
          <w:rFonts w:cs="Arial"/>
          <w:szCs w:val="22"/>
        </w:rPr>
        <w:t>From time to time, the Investment Manager may change its fair valuation technique as applied to any investment if the change would result in an estimate that the Investment Manager in good fai</w:t>
      </w:r>
      <w:r>
        <w:rPr>
          <w:rFonts w:cs="Arial"/>
          <w:szCs w:val="22"/>
        </w:rPr>
        <w:t>th believes is more representa</w:t>
      </w:r>
      <w:r w:rsidRPr="00D83AC5">
        <w:rPr>
          <w:rFonts w:cs="Arial"/>
          <w:szCs w:val="22"/>
        </w:rPr>
        <w:t xml:space="preserve">tive of fair value under the circumstances. The determination of fair value is inherently subjective in nature, and the Investment Manager has a conflict of interest in determining fair value in light of the fact that the valuation determination may affect the amount of the Investment Manager’s management and performance fee. </w:t>
      </w:r>
    </w:p>
    <w:p w14:paraId="653CD507" w14:textId="77777777" w:rsidR="003B5663" w:rsidRPr="00D83AC5" w:rsidRDefault="003B5663" w:rsidP="00A217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p>
    <w:p w14:paraId="46B2F132" w14:textId="2610E253" w:rsidR="00DB7904" w:rsidRPr="00563B0C" w:rsidRDefault="00D83AC5" w:rsidP="00A217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r w:rsidRPr="00D83AC5">
        <w:rPr>
          <w:rFonts w:cs="Arial"/>
          <w:szCs w:val="22"/>
        </w:rPr>
        <w:t xml:space="preserve">At any given time, a substantial portion of the Master Fund’s portfolio positions may be valued by the Investment Manager using the fair value pricing policies. Prices assigned to portfolio positions by the Administrator or the Investment Manager may not necessarily conform to the prices assigned to the same financial instruments if held by other accounts or by affiliates of the Investment Manager. </w:t>
      </w:r>
    </w:p>
    <w:p w14:paraId="69C565BA" w14:textId="77777777" w:rsidR="003B5663" w:rsidRDefault="003B5663"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b/>
          <w:szCs w:val="22"/>
        </w:rPr>
      </w:pPr>
    </w:p>
    <w:p w14:paraId="59DBEDB2" w14:textId="011E3F2D" w:rsidR="00DB7904" w:rsidRPr="00563B0C" w:rsidRDefault="001A5FB0"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b/>
          <w:szCs w:val="22"/>
        </w:rPr>
      </w:pPr>
      <w:r w:rsidRPr="001A5FB0">
        <w:rPr>
          <w:rFonts w:cs="Arial"/>
          <w:b/>
          <w:szCs w:val="22"/>
        </w:rPr>
        <w:t>Side Pocket</w:t>
      </w:r>
      <w:r w:rsidR="00D83AC5">
        <w:rPr>
          <w:rFonts w:cs="Arial"/>
          <w:b/>
          <w:szCs w:val="22"/>
        </w:rPr>
        <w:t xml:space="preserve"> Investments</w:t>
      </w:r>
    </w:p>
    <w:p w14:paraId="143412FB" w14:textId="4DCB5460" w:rsidR="00DB7904" w:rsidRDefault="00D83AC5" w:rsidP="00A217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r w:rsidRPr="00D83AC5">
        <w:rPr>
          <w:rFonts w:cs="Arial"/>
          <w:szCs w:val="22"/>
        </w:rPr>
        <w:t xml:space="preserve">The Board of the Master Fund, in consultation with the Investment Manager, may classify certain Insurance-Linked Instruments as investments in which only persons which are Shareholders at the time of such classification can participate (“Side Pocket Investments”). This typically will happen if a Covered Event has recently occurred or seems likely to occur under an Insurance-Linked Instrument, because determining the fair value once a Covered Event has occurred under an Insurance-Linked Instrument is often both a highly uncertain and a protracted process. Side Pocket Investments are valued in the Statements of Assets and Liabilities at their fair value as determined in good faith by the Investment Manager. </w:t>
      </w:r>
    </w:p>
    <w:p w14:paraId="54DC77E5" w14:textId="77777777" w:rsidR="003B5663" w:rsidRPr="00563B0C" w:rsidRDefault="003B5663" w:rsidP="00A217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p>
    <w:p w14:paraId="2CC8D424" w14:textId="77777777" w:rsidR="00DB7904" w:rsidRPr="00563B0C" w:rsidRDefault="001A5FB0"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b/>
          <w:szCs w:val="22"/>
        </w:rPr>
      </w:pPr>
      <w:r w:rsidRPr="001A5FB0">
        <w:rPr>
          <w:rFonts w:cs="Arial"/>
          <w:b/>
          <w:szCs w:val="22"/>
        </w:rPr>
        <w:t>Financial Instruments</w:t>
      </w:r>
    </w:p>
    <w:p w14:paraId="2F7F4252" w14:textId="77777777" w:rsidR="00591815" w:rsidRPr="00591815" w:rsidRDefault="00591815" w:rsidP="00591815">
      <w:pPr>
        <w:pStyle w:val="BodyText"/>
        <w:tabs>
          <w:tab w:val="clear" w:pos="9990"/>
          <w:tab w:val="left" w:pos="9720"/>
        </w:tabs>
        <w:kinsoku w:val="0"/>
        <w:overflowPunct w:val="0"/>
        <w:spacing w:before="57"/>
        <w:ind w:right="389"/>
        <w:rPr>
          <w:rFonts w:cs="Arial"/>
          <w:spacing w:val="0"/>
          <w:sz w:val="22"/>
          <w:szCs w:val="22"/>
        </w:rPr>
      </w:pPr>
      <w:r w:rsidRPr="00591815">
        <w:rPr>
          <w:rFonts w:cs="Arial"/>
          <w:spacing w:val="0"/>
          <w:sz w:val="22"/>
          <w:szCs w:val="22"/>
        </w:rPr>
        <w:t xml:space="preserve">The fair values of the Company’s assets and liabilities, which qualify as ﬁnancial instruments under ASC 825, </w:t>
      </w:r>
      <w:r>
        <w:rPr>
          <w:rFonts w:cs="Arial"/>
          <w:spacing w:val="0"/>
          <w:sz w:val="22"/>
          <w:szCs w:val="22"/>
        </w:rPr>
        <w:t>Fi</w:t>
      </w:r>
      <w:r w:rsidRPr="00591815">
        <w:rPr>
          <w:rFonts w:cs="Arial"/>
          <w:spacing w:val="0"/>
          <w:sz w:val="22"/>
          <w:szCs w:val="22"/>
        </w:rPr>
        <w:t>nancial Instruments, approximate the carrying amounts presented in the Statements of Assets and Liabilities.</w:t>
      </w:r>
    </w:p>
    <w:p w14:paraId="40200414" w14:textId="77777777" w:rsidR="00DB7904" w:rsidRPr="00563B0C" w:rsidRDefault="00DB7904"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p>
    <w:p w14:paraId="27494743" w14:textId="77777777" w:rsidR="00DB7904" w:rsidRPr="00563B0C" w:rsidRDefault="001A5FB0"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b/>
          <w:szCs w:val="22"/>
        </w:rPr>
      </w:pPr>
      <w:r w:rsidRPr="001A5FB0">
        <w:rPr>
          <w:rFonts w:cs="Arial"/>
          <w:b/>
          <w:szCs w:val="22"/>
        </w:rPr>
        <w:t>Investment Transactions and Related Investment Income and Expenses</w:t>
      </w:r>
    </w:p>
    <w:p w14:paraId="0069A4DF" w14:textId="77777777" w:rsidR="00D83AC5" w:rsidRDefault="00D83AC5" w:rsidP="00D83AC5">
      <w:pPr>
        <w:pStyle w:val="BodyText"/>
        <w:tabs>
          <w:tab w:val="clear" w:pos="9990"/>
          <w:tab w:val="left" w:pos="9720"/>
        </w:tabs>
        <w:kinsoku w:val="0"/>
        <w:overflowPunct w:val="0"/>
        <w:spacing w:before="57"/>
        <w:ind w:right="389"/>
        <w:rPr>
          <w:rFonts w:cs="Arial"/>
          <w:spacing w:val="0"/>
          <w:sz w:val="22"/>
          <w:szCs w:val="22"/>
        </w:rPr>
      </w:pPr>
      <w:r w:rsidRPr="00D83AC5">
        <w:rPr>
          <w:rFonts w:cs="Arial"/>
          <w:spacing w:val="0"/>
          <w:sz w:val="22"/>
          <w:szCs w:val="22"/>
        </w:rPr>
        <w:t xml:space="preserve">The Company records its proportionate share of the Master Fund’s income, expenses, </w:t>
      </w:r>
      <w:proofErr w:type="spellStart"/>
      <w:r w:rsidRPr="00D83AC5">
        <w:rPr>
          <w:rFonts w:cs="Arial"/>
          <w:spacing w:val="0"/>
          <w:sz w:val="22"/>
          <w:szCs w:val="22"/>
        </w:rPr>
        <w:t>realised</w:t>
      </w:r>
      <w:proofErr w:type="spellEnd"/>
      <w:r w:rsidRPr="00D83AC5">
        <w:rPr>
          <w:rFonts w:cs="Arial"/>
          <w:spacing w:val="0"/>
          <w:sz w:val="22"/>
          <w:szCs w:val="22"/>
        </w:rPr>
        <w:t xml:space="preserve"> gains and losses and increases and decreases in </w:t>
      </w:r>
      <w:proofErr w:type="spellStart"/>
      <w:r w:rsidRPr="00D83AC5">
        <w:rPr>
          <w:rFonts w:cs="Arial"/>
          <w:spacing w:val="0"/>
          <w:sz w:val="22"/>
          <w:szCs w:val="22"/>
        </w:rPr>
        <w:t>unrealised</w:t>
      </w:r>
      <w:proofErr w:type="spellEnd"/>
      <w:r w:rsidRPr="00D83AC5">
        <w:rPr>
          <w:rFonts w:cs="Arial"/>
          <w:spacing w:val="0"/>
          <w:sz w:val="22"/>
          <w:szCs w:val="22"/>
        </w:rPr>
        <w:t xml:space="preserve"> appreciation on a monthly basis. In addition, the Company incurs and accrues its own income and expenses. </w:t>
      </w:r>
    </w:p>
    <w:p w14:paraId="367CA3A2" w14:textId="77777777" w:rsidR="0067084F" w:rsidRPr="00D83AC5" w:rsidRDefault="0067084F" w:rsidP="00D83AC5">
      <w:pPr>
        <w:pStyle w:val="BodyText"/>
        <w:tabs>
          <w:tab w:val="clear" w:pos="9990"/>
          <w:tab w:val="left" w:pos="9720"/>
        </w:tabs>
        <w:kinsoku w:val="0"/>
        <w:overflowPunct w:val="0"/>
        <w:spacing w:before="57"/>
        <w:ind w:right="389"/>
        <w:rPr>
          <w:rFonts w:cs="Arial"/>
          <w:spacing w:val="0"/>
          <w:sz w:val="22"/>
          <w:szCs w:val="22"/>
        </w:rPr>
      </w:pPr>
    </w:p>
    <w:p w14:paraId="6FE6A3CD" w14:textId="3549B84E" w:rsidR="00D83AC5" w:rsidRPr="00D83AC5" w:rsidRDefault="00D83AC5" w:rsidP="00261BD5">
      <w:pPr>
        <w:pStyle w:val="BodyText"/>
        <w:tabs>
          <w:tab w:val="clear" w:pos="9990"/>
          <w:tab w:val="left" w:pos="9720"/>
        </w:tabs>
        <w:kinsoku w:val="0"/>
        <w:overflowPunct w:val="0"/>
        <w:spacing w:before="57"/>
        <w:ind w:right="391"/>
        <w:contextualSpacing/>
        <w:rPr>
          <w:rFonts w:cs="Arial"/>
          <w:spacing w:val="0"/>
          <w:sz w:val="22"/>
          <w:szCs w:val="22"/>
        </w:rPr>
      </w:pPr>
      <w:r w:rsidRPr="00D83AC5">
        <w:rPr>
          <w:rFonts w:cs="Arial"/>
          <w:spacing w:val="0"/>
          <w:sz w:val="22"/>
          <w:szCs w:val="22"/>
        </w:rPr>
        <w:t xml:space="preserve">Investment transactions of the Master Fund are accounted for on a trade-date basis. </w:t>
      </w:r>
      <w:proofErr w:type="spellStart"/>
      <w:r w:rsidRPr="00D83AC5">
        <w:rPr>
          <w:rFonts w:cs="Arial"/>
          <w:spacing w:val="0"/>
          <w:sz w:val="22"/>
          <w:szCs w:val="22"/>
        </w:rPr>
        <w:t>Realised</w:t>
      </w:r>
      <w:proofErr w:type="spellEnd"/>
      <w:r w:rsidRPr="00D83AC5">
        <w:rPr>
          <w:rFonts w:cs="Arial"/>
          <w:spacing w:val="0"/>
          <w:sz w:val="22"/>
          <w:szCs w:val="22"/>
        </w:rPr>
        <w:t xml:space="preserve"> gains or losses on the sale of investments are calculated using the specific identification method </w:t>
      </w:r>
      <w:r>
        <w:rPr>
          <w:rFonts w:cs="Arial"/>
          <w:spacing w:val="0"/>
          <w:sz w:val="22"/>
          <w:szCs w:val="22"/>
        </w:rPr>
        <w:t xml:space="preserve">of accounting. Interest is </w:t>
      </w:r>
      <w:proofErr w:type="spellStart"/>
      <w:r>
        <w:rPr>
          <w:rFonts w:cs="Arial"/>
          <w:spacing w:val="0"/>
          <w:sz w:val="22"/>
          <w:szCs w:val="22"/>
        </w:rPr>
        <w:t>rec</w:t>
      </w:r>
      <w:r w:rsidRPr="00D83AC5">
        <w:rPr>
          <w:rFonts w:cs="Arial"/>
          <w:spacing w:val="0"/>
          <w:sz w:val="22"/>
          <w:szCs w:val="22"/>
        </w:rPr>
        <w:t>ognised</w:t>
      </w:r>
      <w:proofErr w:type="spellEnd"/>
      <w:r w:rsidRPr="00D83AC5">
        <w:rPr>
          <w:rFonts w:cs="Arial"/>
          <w:spacing w:val="0"/>
          <w:sz w:val="22"/>
          <w:szCs w:val="22"/>
        </w:rPr>
        <w:t xml:space="preserve"> on the accrual basis. </w:t>
      </w:r>
    </w:p>
    <w:p w14:paraId="2ED96550" w14:textId="77777777" w:rsidR="0003700F" w:rsidRDefault="0003700F" w:rsidP="00261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91"/>
        <w:contextualSpacing/>
        <w:jc w:val="both"/>
        <w:rPr>
          <w:rFonts w:cs="Arial"/>
          <w:b/>
          <w:szCs w:val="22"/>
        </w:rPr>
      </w:pPr>
    </w:p>
    <w:p w14:paraId="65107FF5" w14:textId="77777777" w:rsidR="00DB7904" w:rsidRPr="00563B0C" w:rsidRDefault="001A5FB0" w:rsidP="00261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91"/>
        <w:contextualSpacing/>
        <w:jc w:val="both"/>
        <w:rPr>
          <w:rFonts w:cs="Arial"/>
          <w:b/>
          <w:szCs w:val="22"/>
        </w:rPr>
      </w:pPr>
      <w:r w:rsidRPr="001A5FB0">
        <w:rPr>
          <w:rFonts w:cs="Arial"/>
          <w:b/>
          <w:szCs w:val="22"/>
        </w:rPr>
        <w:t>Translation of Foreign Currency</w:t>
      </w:r>
    </w:p>
    <w:p w14:paraId="57C40523" w14:textId="77777777" w:rsidR="00D83AC5" w:rsidRDefault="00D83AC5" w:rsidP="00261BD5">
      <w:pPr>
        <w:pStyle w:val="BodyText"/>
        <w:tabs>
          <w:tab w:val="clear" w:pos="9990"/>
          <w:tab w:val="left" w:pos="9720"/>
        </w:tabs>
        <w:kinsoku w:val="0"/>
        <w:overflowPunct w:val="0"/>
        <w:spacing w:before="57"/>
        <w:ind w:right="391"/>
        <w:contextualSpacing/>
        <w:rPr>
          <w:rFonts w:cs="Arial"/>
          <w:spacing w:val="0"/>
          <w:sz w:val="22"/>
          <w:szCs w:val="22"/>
        </w:rPr>
      </w:pPr>
      <w:r w:rsidRPr="00D83AC5">
        <w:rPr>
          <w:rFonts w:cs="Arial"/>
          <w:spacing w:val="0"/>
          <w:sz w:val="22"/>
          <w:szCs w:val="22"/>
        </w:rPr>
        <w:t xml:space="preserve">Assets and liabilities denominated in foreign currencies are translated into United States dollar amounts at the period-end exchange rates. Transactions denominated in foreign currencies, including purchases and sales of investments, and income and expenses, are translated into United States dollar amounts on the transaction date. Adjustments arising from foreign currency transactions are reflected in the Statements of Operations. </w:t>
      </w:r>
    </w:p>
    <w:p w14:paraId="669E4E8C" w14:textId="77777777" w:rsidR="0067084F" w:rsidRPr="00D83AC5" w:rsidRDefault="0067084F" w:rsidP="00261BD5">
      <w:pPr>
        <w:pStyle w:val="BodyText"/>
        <w:tabs>
          <w:tab w:val="clear" w:pos="9990"/>
          <w:tab w:val="left" w:pos="9720"/>
        </w:tabs>
        <w:kinsoku w:val="0"/>
        <w:overflowPunct w:val="0"/>
        <w:spacing w:before="57"/>
        <w:ind w:right="391"/>
        <w:contextualSpacing/>
        <w:rPr>
          <w:rFonts w:cs="Arial"/>
          <w:spacing w:val="0"/>
          <w:sz w:val="22"/>
          <w:szCs w:val="22"/>
        </w:rPr>
      </w:pPr>
    </w:p>
    <w:p w14:paraId="1605ED3A" w14:textId="77777777" w:rsidR="00D83AC5" w:rsidRPr="00D83AC5" w:rsidRDefault="00D83AC5" w:rsidP="00261BD5">
      <w:pPr>
        <w:pStyle w:val="BodyText"/>
        <w:tabs>
          <w:tab w:val="clear" w:pos="9990"/>
          <w:tab w:val="left" w:pos="9720"/>
        </w:tabs>
        <w:kinsoku w:val="0"/>
        <w:overflowPunct w:val="0"/>
        <w:spacing w:before="57"/>
        <w:ind w:right="391"/>
        <w:contextualSpacing/>
        <w:rPr>
          <w:rFonts w:cs="Arial"/>
          <w:spacing w:val="0"/>
          <w:sz w:val="22"/>
          <w:szCs w:val="22"/>
        </w:rPr>
      </w:pPr>
      <w:r w:rsidRPr="00D83AC5">
        <w:rPr>
          <w:rFonts w:cs="Arial"/>
          <w:spacing w:val="0"/>
          <w:sz w:val="22"/>
          <w:szCs w:val="22"/>
        </w:rPr>
        <w:t xml:space="preserve">The Company does not isolate the portion of the results of operations arising from the effect of changes in foreign exchange rates on investments from fluctuations arising from changes in market prices of investments held. Such fluctuations are included in net (decrease)/increase in </w:t>
      </w:r>
      <w:proofErr w:type="spellStart"/>
      <w:r w:rsidRPr="00D83AC5">
        <w:rPr>
          <w:rFonts w:cs="Arial"/>
          <w:spacing w:val="0"/>
          <w:sz w:val="22"/>
          <w:szCs w:val="22"/>
        </w:rPr>
        <w:t>unrealised</w:t>
      </w:r>
      <w:proofErr w:type="spellEnd"/>
      <w:r w:rsidRPr="00D83AC5">
        <w:rPr>
          <w:rFonts w:cs="Arial"/>
          <w:spacing w:val="0"/>
          <w:sz w:val="22"/>
          <w:szCs w:val="22"/>
        </w:rPr>
        <w:t xml:space="preserve"> appreciation on securities in the Statements of Operations. </w:t>
      </w:r>
    </w:p>
    <w:p w14:paraId="3378259F" w14:textId="77777777" w:rsidR="00DB7904" w:rsidRPr="00563B0C" w:rsidRDefault="00DB7904" w:rsidP="00261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91"/>
        <w:contextualSpacing/>
        <w:jc w:val="both"/>
        <w:rPr>
          <w:rFonts w:cs="Arial"/>
          <w:szCs w:val="22"/>
        </w:rPr>
      </w:pPr>
    </w:p>
    <w:p w14:paraId="2348062D" w14:textId="77777777" w:rsidR="00DB7904" w:rsidRPr="00563B0C" w:rsidRDefault="001A5FB0" w:rsidP="00261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91"/>
        <w:contextualSpacing/>
        <w:jc w:val="both"/>
        <w:rPr>
          <w:rFonts w:cs="Arial"/>
          <w:b/>
          <w:szCs w:val="22"/>
        </w:rPr>
      </w:pPr>
      <w:r w:rsidRPr="001A5FB0">
        <w:rPr>
          <w:rFonts w:cs="Arial"/>
          <w:b/>
          <w:szCs w:val="22"/>
        </w:rPr>
        <w:t>Income Taxes</w:t>
      </w:r>
    </w:p>
    <w:p w14:paraId="63C4F8A2" w14:textId="7F0079B5" w:rsidR="00D83AC5" w:rsidRDefault="00D83AC5" w:rsidP="00261BD5">
      <w:pPr>
        <w:pStyle w:val="BodyText"/>
        <w:tabs>
          <w:tab w:val="clear" w:pos="9990"/>
          <w:tab w:val="left" w:pos="9720"/>
        </w:tabs>
        <w:kinsoku w:val="0"/>
        <w:overflowPunct w:val="0"/>
        <w:spacing w:before="57"/>
        <w:ind w:right="391"/>
        <w:contextualSpacing/>
        <w:rPr>
          <w:rFonts w:cs="Arial"/>
          <w:spacing w:val="0"/>
          <w:sz w:val="22"/>
          <w:szCs w:val="22"/>
        </w:rPr>
      </w:pPr>
      <w:r w:rsidRPr="00D83AC5">
        <w:rPr>
          <w:rFonts w:cs="Arial"/>
          <w:spacing w:val="0"/>
          <w:sz w:val="22"/>
          <w:szCs w:val="22"/>
        </w:rPr>
        <w:t>Under the laws of Bermuda, the Company is generally not subject to income taxes. The Company has received an undertaking from the Minister of Finance in Bermuda that in the event that there is enacted in Bermuda any legislation imposing income or capital gains tax, such tax shall not until 31 March</w:t>
      </w:r>
      <w:r>
        <w:rPr>
          <w:rFonts w:cs="Arial"/>
          <w:spacing w:val="0"/>
          <w:sz w:val="22"/>
          <w:szCs w:val="22"/>
        </w:rPr>
        <w:t xml:space="preserve"> 2035 be applicable to the Com</w:t>
      </w:r>
      <w:r w:rsidRPr="00D83AC5">
        <w:rPr>
          <w:rFonts w:cs="Arial"/>
          <w:spacing w:val="0"/>
          <w:sz w:val="22"/>
          <w:szCs w:val="22"/>
        </w:rPr>
        <w:t>pany. However, certain United States dividend income and interest income ma</w:t>
      </w:r>
      <w:r>
        <w:rPr>
          <w:rFonts w:cs="Arial"/>
          <w:spacing w:val="0"/>
          <w:sz w:val="22"/>
          <w:szCs w:val="22"/>
        </w:rPr>
        <w:t>y be subject to a 30% withhold</w:t>
      </w:r>
      <w:r w:rsidRPr="00D83AC5">
        <w:rPr>
          <w:rFonts w:cs="Arial"/>
          <w:spacing w:val="0"/>
          <w:sz w:val="22"/>
          <w:szCs w:val="22"/>
        </w:rPr>
        <w:t xml:space="preserve">ing tax. Further, certain United States dividend income may be subject to a tax at prevailing treaty or standard withholding rates with the applicable country or local jurisdiction. </w:t>
      </w:r>
    </w:p>
    <w:p w14:paraId="7E77371A" w14:textId="77777777" w:rsidR="00261BD5" w:rsidRPr="00D83AC5" w:rsidRDefault="00261BD5" w:rsidP="00261BD5">
      <w:pPr>
        <w:pStyle w:val="BodyText"/>
        <w:tabs>
          <w:tab w:val="clear" w:pos="9990"/>
          <w:tab w:val="left" w:pos="9720"/>
        </w:tabs>
        <w:kinsoku w:val="0"/>
        <w:overflowPunct w:val="0"/>
        <w:spacing w:before="57"/>
        <w:ind w:right="391"/>
        <w:contextualSpacing/>
        <w:rPr>
          <w:rFonts w:cs="Arial"/>
          <w:spacing w:val="0"/>
          <w:sz w:val="22"/>
          <w:szCs w:val="22"/>
        </w:rPr>
      </w:pPr>
    </w:p>
    <w:p w14:paraId="168352C5" w14:textId="454F29F6" w:rsidR="00D83AC5" w:rsidRDefault="00D83AC5" w:rsidP="00261BD5">
      <w:pPr>
        <w:pStyle w:val="BodyText"/>
        <w:tabs>
          <w:tab w:val="clear" w:pos="9990"/>
          <w:tab w:val="left" w:pos="9720"/>
        </w:tabs>
        <w:kinsoku w:val="0"/>
        <w:overflowPunct w:val="0"/>
        <w:spacing w:before="57"/>
        <w:ind w:right="391"/>
        <w:contextualSpacing/>
        <w:rPr>
          <w:rFonts w:cs="Arial"/>
          <w:spacing w:val="0"/>
          <w:sz w:val="22"/>
          <w:szCs w:val="22"/>
        </w:rPr>
      </w:pPr>
      <w:r w:rsidRPr="00D83AC5">
        <w:rPr>
          <w:rFonts w:cs="Arial"/>
          <w:spacing w:val="0"/>
          <w:sz w:val="22"/>
          <w:szCs w:val="22"/>
        </w:rPr>
        <w:t>The Company is required to determine whether its tax positions are more likely th</w:t>
      </w:r>
      <w:r>
        <w:rPr>
          <w:rFonts w:cs="Arial"/>
          <w:spacing w:val="0"/>
          <w:sz w:val="22"/>
          <w:szCs w:val="22"/>
        </w:rPr>
        <w:t>an not to be sustained upon ex</w:t>
      </w:r>
      <w:r w:rsidRPr="00D83AC5">
        <w:rPr>
          <w:rFonts w:cs="Arial"/>
          <w:spacing w:val="0"/>
          <w:sz w:val="22"/>
          <w:szCs w:val="22"/>
        </w:rPr>
        <w:t xml:space="preserve">amination by the applicable taxing authority, including resolution of any related appeals or litigation processes, based on the technical merits of the position. The tax benefit </w:t>
      </w:r>
      <w:proofErr w:type="spellStart"/>
      <w:r w:rsidRPr="00D83AC5">
        <w:rPr>
          <w:rFonts w:cs="Arial"/>
          <w:spacing w:val="0"/>
          <w:sz w:val="22"/>
          <w:szCs w:val="22"/>
        </w:rPr>
        <w:t>recognised</w:t>
      </w:r>
      <w:proofErr w:type="spellEnd"/>
      <w:r w:rsidRPr="00D83AC5">
        <w:rPr>
          <w:rFonts w:cs="Arial"/>
          <w:spacing w:val="0"/>
          <w:sz w:val="22"/>
          <w:szCs w:val="22"/>
        </w:rPr>
        <w:t xml:space="preserve"> is measured as the largest amount of benefit that has a greater than fifty percent likelihood of being </w:t>
      </w:r>
      <w:proofErr w:type="spellStart"/>
      <w:r w:rsidRPr="00D83AC5">
        <w:rPr>
          <w:rFonts w:cs="Arial"/>
          <w:spacing w:val="0"/>
          <w:sz w:val="22"/>
          <w:szCs w:val="22"/>
        </w:rPr>
        <w:t>realised</w:t>
      </w:r>
      <w:proofErr w:type="spellEnd"/>
      <w:r w:rsidRPr="00D83AC5">
        <w:rPr>
          <w:rFonts w:cs="Arial"/>
          <w:spacing w:val="0"/>
          <w:sz w:val="22"/>
          <w:szCs w:val="22"/>
        </w:rPr>
        <w:t xml:space="preserve"> upon ult</w:t>
      </w:r>
      <w:r>
        <w:rPr>
          <w:rFonts w:cs="Arial"/>
          <w:spacing w:val="0"/>
          <w:sz w:val="22"/>
          <w:szCs w:val="22"/>
        </w:rPr>
        <w:t>imate settlement with the rele</w:t>
      </w:r>
      <w:r w:rsidRPr="00D83AC5">
        <w:rPr>
          <w:rFonts w:cs="Arial"/>
          <w:spacing w:val="0"/>
          <w:sz w:val="22"/>
          <w:szCs w:val="22"/>
        </w:rPr>
        <w:t xml:space="preserve">vant taxing authority. De-recognition of a tax benefit previously </w:t>
      </w:r>
      <w:proofErr w:type="spellStart"/>
      <w:r w:rsidRPr="00D83AC5">
        <w:rPr>
          <w:rFonts w:cs="Arial"/>
          <w:spacing w:val="0"/>
          <w:sz w:val="22"/>
          <w:szCs w:val="22"/>
        </w:rPr>
        <w:t>recognised</w:t>
      </w:r>
      <w:proofErr w:type="spellEnd"/>
      <w:r w:rsidRPr="00D83AC5">
        <w:rPr>
          <w:rFonts w:cs="Arial"/>
          <w:spacing w:val="0"/>
          <w:sz w:val="22"/>
          <w:szCs w:val="22"/>
        </w:rPr>
        <w:t xml:space="preserve"> results in the Company recording a tax liability that reduces ending net assets. Based on its analysis, the Company has determined that it has not incurred any liability for </w:t>
      </w:r>
      <w:proofErr w:type="spellStart"/>
      <w:r w:rsidRPr="00D83AC5">
        <w:rPr>
          <w:rFonts w:cs="Arial"/>
          <w:spacing w:val="0"/>
          <w:sz w:val="22"/>
          <w:szCs w:val="22"/>
        </w:rPr>
        <w:t>unrecognised</w:t>
      </w:r>
      <w:proofErr w:type="spellEnd"/>
      <w:r w:rsidRPr="00D83AC5">
        <w:rPr>
          <w:rFonts w:cs="Arial"/>
          <w:spacing w:val="0"/>
          <w:sz w:val="22"/>
          <w:szCs w:val="22"/>
        </w:rPr>
        <w:t xml:space="preserve"> tax benefits as of 31 December 2015. However, the Company’s conclusions may be subject to review and adjustment at a later date based on factors including, but not limited to, on-going analyses of and changes to tax laws, regulations and interpretations thereof. </w:t>
      </w:r>
    </w:p>
    <w:p w14:paraId="2CA8E8C7" w14:textId="77777777" w:rsidR="0067084F" w:rsidRPr="00D83AC5" w:rsidRDefault="0067084F" w:rsidP="00261BD5">
      <w:pPr>
        <w:pStyle w:val="BodyText"/>
        <w:tabs>
          <w:tab w:val="clear" w:pos="9990"/>
          <w:tab w:val="left" w:pos="9720"/>
        </w:tabs>
        <w:kinsoku w:val="0"/>
        <w:overflowPunct w:val="0"/>
        <w:spacing w:before="57"/>
        <w:ind w:right="391"/>
        <w:contextualSpacing/>
        <w:rPr>
          <w:rFonts w:cs="Arial"/>
          <w:spacing w:val="0"/>
          <w:sz w:val="22"/>
          <w:szCs w:val="22"/>
        </w:rPr>
      </w:pPr>
    </w:p>
    <w:p w14:paraId="470B02F8" w14:textId="77777777" w:rsidR="00D83AC5" w:rsidRDefault="00D83AC5" w:rsidP="00261BD5">
      <w:pPr>
        <w:pStyle w:val="BodyText"/>
        <w:tabs>
          <w:tab w:val="clear" w:pos="9990"/>
          <w:tab w:val="left" w:pos="9720"/>
        </w:tabs>
        <w:kinsoku w:val="0"/>
        <w:overflowPunct w:val="0"/>
        <w:spacing w:before="57"/>
        <w:ind w:right="391"/>
        <w:contextualSpacing/>
        <w:rPr>
          <w:rFonts w:cs="Arial"/>
          <w:spacing w:val="0"/>
          <w:sz w:val="22"/>
          <w:szCs w:val="22"/>
        </w:rPr>
      </w:pPr>
      <w:r w:rsidRPr="00D83AC5">
        <w:rPr>
          <w:rFonts w:cs="Arial"/>
          <w:spacing w:val="0"/>
          <w:sz w:val="22"/>
          <w:szCs w:val="22"/>
        </w:rPr>
        <w:t xml:space="preserve">The Company </w:t>
      </w:r>
      <w:proofErr w:type="spellStart"/>
      <w:r w:rsidRPr="00D83AC5">
        <w:rPr>
          <w:rFonts w:cs="Arial"/>
          <w:spacing w:val="0"/>
          <w:sz w:val="22"/>
          <w:szCs w:val="22"/>
        </w:rPr>
        <w:t>recognises</w:t>
      </w:r>
      <w:proofErr w:type="spellEnd"/>
      <w:r w:rsidRPr="00D83AC5">
        <w:rPr>
          <w:rFonts w:cs="Arial"/>
          <w:spacing w:val="0"/>
          <w:sz w:val="22"/>
          <w:szCs w:val="22"/>
        </w:rPr>
        <w:t xml:space="preserve"> interest and penalties related to </w:t>
      </w:r>
      <w:proofErr w:type="spellStart"/>
      <w:r w:rsidRPr="00D83AC5">
        <w:rPr>
          <w:rFonts w:cs="Arial"/>
          <w:spacing w:val="0"/>
          <w:sz w:val="22"/>
          <w:szCs w:val="22"/>
        </w:rPr>
        <w:t>unrecognised</w:t>
      </w:r>
      <w:proofErr w:type="spellEnd"/>
      <w:r w:rsidRPr="00D83AC5">
        <w:rPr>
          <w:rFonts w:cs="Arial"/>
          <w:spacing w:val="0"/>
          <w:sz w:val="22"/>
          <w:szCs w:val="22"/>
        </w:rPr>
        <w:t xml:space="preserve"> tax benefits in interest expense and other expenses, respectively. No interest expense or penalties have been </w:t>
      </w:r>
      <w:proofErr w:type="spellStart"/>
      <w:r w:rsidRPr="00D83AC5">
        <w:rPr>
          <w:rFonts w:cs="Arial"/>
          <w:spacing w:val="0"/>
          <w:sz w:val="22"/>
          <w:szCs w:val="22"/>
        </w:rPr>
        <w:t>recognised</w:t>
      </w:r>
      <w:proofErr w:type="spellEnd"/>
      <w:r w:rsidRPr="00D83AC5">
        <w:rPr>
          <w:rFonts w:cs="Arial"/>
          <w:spacing w:val="0"/>
          <w:sz w:val="22"/>
          <w:szCs w:val="22"/>
        </w:rPr>
        <w:t xml:space="preserve"> as of and for the years ended 31 December 2015 and 2014. </w:t>
      </w:r>
    </w:p>
    <w:p w14:paraId="267A2225" w14:textId="77777777" w:rsidR="0067084F" w:rsidRPr="00D83AC5" w:rsidRDefault="0067084F" w:rsidP="00261BD5">
      <w:pPr>
        <w:pStyle w:val="BodyText"/>
        <w:tabs>
          <w:tab w:val="clear" w:pos="9990"/>
          <w:tab w:val="left" w:pos="9720"/>
        </w:tabs>
        <w:kinsoku w:val="0"/>
        <w:overflowPunct w:val="0"/>
        <w:spacing w:before="57"/>
        <w:ind w:right="391"/>
        <w:contextualSpacing/>
        <w:rPr>
          <w:rFonts w:cs="Arial"/>
          <w:spacing w:val="0"/>
          <w:sz w:val="22"/>
          <w:szCs w:val="22"/>
        </w:rPr>
      </w:pPr>
    </w:p>
    <w:p w14:paraId="0C7DAECD" w14:textId="77777777" w:rsidR="00D83AC5" w:rsidRDefault="00D83AC5" w:rsidP="00261BD5">
      <w:pPr>
        <w:pStyle w:val="BodyText"/>
        <w:tabs>
          <w:tab w:val="clear" w:pos="9990"/>
          <w:tab w:val="left" w:pos="9720"/>
        </w:tabs>
        <w:kinsoku w:val="0"/>
        <w:overflowPunct w:val="0"/>
        <w:spacing w:before="57"/>
        <w:ind w:right="391"/>
        <w:contextualSpacing/>
        <w:rPr>
          <w:rFonts w:cs="Arial"/>
          <w:spacing w:val="0"/>
          <w:sz w:val="22"/>
          <w:szCs w:val="22"/>
        </w:rPr>
      </w:pPr>
      <w:r w:rsidRPr="00D83AC5">
        <w:rPr>
          <w:rFonts w:cs="Arial"/>
          <w:spacing w:val="0"/>
          <w:sz w:val="22"/>
          <w:szCs w:val="22"/>
        </w:rPr>
        <w:t xml:space="preserve">Generally, the Company may be subjected to income tax examinations by relevant major taxing authorities for all tax years since its inception. </w:t>
      </w:r>
    </w:p>
    <w:p w14:paraId="66F6D5EF" w14:textId="77777777" w:rsidR="0067084F" w:rsidRPr="00D83AC5" w:rsidRDefault="0067084F" w:rsidP="00261BD5">
      <w:pPr>
        <w:pStyle w:val="BodyText"/>
        <w:tabs>
          <w:tab w:val="clear" w:pos="9990"/>
          <w:tab w:val="left" w:pos="9720"/>
        </w:tabs>
        <w:kinsoku w:val="0"/>
        <w:overflowPunct w:val="0"/>
        <w:spacing w:before="57"/>
        <w:ind w:right="391"/>
        <w:contextualSpacing/>
        <w:rPr>
          <w:rFonts w:cs="Arial"/>
          <w:spacing w:val="0"/>
          <w:sz w:val="22"/>
          <w:szCs w:val="22"/>
        </w:rPr>
      </w:pPr>
    </w:p>
    <w:p w14:paraId="4CA7A59F" w14:textId="4F30A0A5" w:rsidR="00D83AC5" w:rsidRPr="00D83AC5" w:rsidRDefault="00D83AC5" w:rsidP="00261BD5">
      <w:pPr>
        <w:pStyle w:val="BodyText"/>
        <w:tabs>
          <w:tab w:val="clear" w:pos="9990"/>
          <w:tab w:val="left" w:pos="9720"/>
        </w:tabs>
        <w:kinsoku w:val="0"/>
        <w:overflowPunct w:val="0"/>
        <w:spacing w:before="57"/>
        <w:ind w:right="391"/>
        <w:contextualSpacing/>
        <w:rPr>
          <w:rFonts w:cs="Arial"/>
          <w:spacing w:val="0"/>
          <w:sz w:val="22"/>
          <w:szCs w:val="22"/>
        </w:rPr>
      </w:pPr>
      <w:r w:rsidRPr="00D83AC5">
        <w:rPr>
          <w:rFonts w:cs="Arial"/>
          <w:spacing w:val="0"/>
          <w:sz w:val="22"/>
          <w:szCs w:val="22"/>
        </w:rPr>
        <w:t xml:space="preserve">The Company may be subject to potential examination by U.S. federal or foreign jurisdiction authorities in the areas of income taxes. These potential examinations may include questioning </w:t>
      </w:r>
      <w:r>
        <w:rPr>
          <w:rFonts w:cs="Arial"/>
          <w:spacing w:val="0"/>
          <w:sz w:val="22"/>
          <w:szCs w:val="22"/>
        </w:rPr>
        <w:t>the timing and amount of deduc</w:t>
      </w:r>
      <w:r w:rsidRPr="00D83AC5">
        <w:rPr>
          <w:rFonts w:cs="Arial"/>
          <w:spacing w:val="0"/>
          <w:sz w:val="22"/>
          <w:szCs w:val="22"/>
        </w:rPr>
        <w:t xml:space="preserve">tions, the nexus of income among various tax jurisdictions and compliance with U.S. federal or foreign tax laws. The Company was not subjected to any tax examinations during the years ended 31 December 2015 and 2014. </w:t>
      </w:r>
    </w:p>
    <w:p w14:paraId="185072EF" w14:textId="77777777" w:rsidR="00DB7904" w:rsidRPr="00563B0C" w:rsidRDefault="00DB7904"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p>
    <w:p w14:paraId="6156011B" w14:textId="77777777" w:rsidR="00DB7904" w:rsidRPr="00563B0C" w:rsidRDefault="001A5FB0"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b/>
          <w:szCs w:val="22"/>
        </w:rPr>
      </w:pPr>
      <w:r w:rsidRPr="001A5FB0">
        <w:rPr>
          <w:rFonts w:cs="Arial"/>
          <w:b/>
          <w:szCs w:val="22"/>
        </w:rPr>
        <w:t>Use of Estimates</w:t>
      </w:r>
    </w:p>
    <w:p w14:paraId="7D3EC4DA" w14:textId="62224413" w:rsidR="00D83AC5" w:rsidRPr="00D83AC5" w:rsidRDefault="00D83AC5" w:rsidP="00D83AC5">
      <w:pPr>
        <w:pStyle w:val="BodyText"/>
        <w:tabs>
          <w:tab w:val="clear" w:pos="9990"/>
          <w:tab w:val="left" w:pos="9720"/>
        </w:tabs>
        <w:kinsoku w:val="0"/>
        <w:overflowPunct w:val="0"/>
        <w:spacing w:before="57"/>
        <w:ind w:right="389"/>
        <w:rPr>
          <w:rFonts w:cs="Arial"/>
          <w:spacing w:val="0"/>
          <w:sz w:val="22"/>
          <w:szCs w:val="22"/>
        </w:rPr>
      </w:pPr>
      <w:r w:rsidRPr="00D83AC5">
        <w:rPr>
          <w:rFonts w:cs="Arial"/>
          <w:spacing w:val="0"/>
          <w:sz w:val="22"/>
          <w:szCs w:val="22"/>
        </w:rPr>
        <w:t>The preparation of Financial Statements in conformity with GAAP requires the Company’s management to make estimates and assumptions that affect the amounts of assets and liabilities and disclosure of contingent assets and liabilities at the date of the F</w:t>
      </w:r>
      <w:r>
        <w:rPr>
          <w:rFonts w:cs="Arial"/>
          <w:spacing w:val="0"/>
          <w:sz w:val="22"/>
          <w:szCs w:val="22"/>
        </w:rPr>
        <w:t>i</w:t>
      </w:r>
      <w:r w:rsidRPr="00D83AC5">
        <w:rPr>
          <w:rFonts w:cs="Arial"/>
          <w:spacing w:val="0"/>
          <w:sz w:val="22"/>
          <w:szCs w:val="22"/>
        </w:rPr>
        <w:t xml:space="preserve">nancial Statements. Actual results could differ from those estimates. </w:t>
      </w:r>
    </w:p>
    <w:p w14:paraId="1EB852E4" w14:textId="77777777" w:rsidR="00DB7904" w:rsidRPr="00563B0C" w:rsidRDefault="00DB7904"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p>
    <w:p w14:paraId="2050AE00" w14:textId="77777777" w:rsidR="00DB7904" w:rsidRPr="00563B0C" w:rsidRDefault="001A5FB0" w:rsidP="00E34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Cs w:val="22"/>
        </w:rPr>
      </w:pPr>
      <w:r w:rsidRPr="001A5FB0">
        <w:rPr>
          <w:rFonts w:cs="Arial"/>
          <w:b/>
          <w:szCs w:val="22"/>
        </w:rPr>
        <w:t>Offering Costs</w:t>
      </w:r>
    </w:p>
    <w:p w14:paraId="1683B7CF" w14:textId="7E2441A2" w:rsidR="00556FE6" w:rsidRDefault="00D83AC5" w:rsidP="002F43BE">
      <w:pPr>
        <w:pStyle w:val="BodyText"/>
        <w:tabs>
          <w:tab w:val="clear" w:pos="9990"/>
          <w:tab w:val="left" w:pos="9720"/>
        </w:tabs>
        <w:kinsoku w:val="0"/>
        <w:overflowPunct w:val="0"/>
        <w:spacing w:before="57"/>
        <w:ind w:right="389"/>
        <w:rPr>
          <w:rFonts w:cs="Arial"/>
          <w:spacing w:val="0"/>
          <w:sz w:val="22"/>
          <w:szCs w:val="22"/>
        </w:rPr>
      </w:pPr>
      <w:r w:rsidRPr="00D83AC5">
        <w:rPr>
          <w:rFonts w:cs="Arial"/>
          <w:spacing w:val="0"/>
          <w:sz w:val="22"/>
          <w:szCs w:val="22"/>
        </w:rPr>
        <w:t xml:space="preserve">The costs associated with each capital raise are expensed against paid-in capital as incurred. </w:t>
      </w:r>
    </w:p>
    <w:p w14:paraId="4FF6D345" w14:textId="77777777" w:rsidR="002F43BE" w:rsidRDefault="002F43BE" w:rsidP="002F43BE">
      <w:pPr>
        <w:pStyle w:val="BodyText"/>
        <w:tabs>
          <w:tab w:val="clear" w:pos="9990"/>
          <w:tab w:val="left" w:pos="9720"/>
        </w:tabs>
        <w:kinsoku w:val="0"/>
        <w:overflowPunct w:val="0"/>
        <w:spacing w:before="57"/>
        <w:ind w:right="389"/>
        <w:rPr>
          <w:rFonts w:cs="Arial"/>
          <w:spacing w:val="0"/>
          <w:sz w:val="22"/>
          <w:szCs w:val="22"/>
        </w:rPr>
      </w:pPr>
    </w:p>
    <w:p w14:paraId="4B13DBCD" w14:textId="77777777" w:rsidR="002F43BE" w:rsidRPr="002F43BE" w:rsidRDefault="002F43BE" w:rsidP="002F43BE">
      <w:pPr>
        <w:pStyle w:val="BodyText"/>
        <w:tabs>
          <w:tab w:val="clear" w:pos="9990"/>
          <w:tab w:val="left" w:pos="9720"/>
        </w:tabs>
        <w:kinsoku w:val="0"/>
        <w:overflowPunct w:val="0"/>
        <w:spacing w:before="57"/>
        <w:ind w:right="389"/>
        <w:rPr>
          <w:rFonts w:cs="Arial"/>
          <w:spacing w:val="0"/>
          <w:sz w:val="22"/>
          <w:szCs w:val="22"/>
        </w:rPr>
      </w:pPr>
    </w:p>
    <w:p w14:paraId="6E65086B" w14:textId="3DE64CF6" w:rsidR="00556FE6" w:rsidRPr="002F43BE" w:rsidRDefault="001A5FB0" w:rsidP="000B0D31">
      <w:pPr>
        <w:pStyle w:val="Heading8"/>
        <w:numPr>
          <w:ilvl w:val="0"/>
          <w:numId w:val="1"/>
        </w:numPr>
        <w:tabs>
          <w:tab w:val="clear" w:pos="342"/>
          <w:tab w:val="num" w:pos="360"/>
        </w:tabs>
        <w:ind w:left="360" w:right="389"/>
        <w:rPr>
          <w:rFonts w:cs="Arial"/>
          <w:sz w:val="22"/>
          <w:szCs w:val="22"/>
        </w:rPr>
      </w:pPr>
      <w:r w:rsidRPr="002F43BE">
        <w:rPr>
          <w:rFonts w:cs="Arial"/>
          <w:sz w:val="22"/>
          <w:szCs w:val="22"/>
        </w:rPr>
        <w:t>S</w:t>
      </w:r>
      <w:r w:rsidR="00834A8C" w:rsidRPr="002F43BE">
        <w:rPr>
          <w:rFonts w:cs="Arial"/>
          <w:sz w:val="22"/>
          <w:szCs w:val="22"/>
        </w:rPr>
        <w:t>CHEDULE OF THE COMPANY’S SHARE OF THE INVESTMENTS HELD IN THE MASTER FUND AND FAIR VALUE MEASUREMENTS</w:t>
      </w:r>
    </w:p>
    <w:p w14:paraId="7A5A83ED" w14:textId="77777777" w:rsidR="002F43BE" w:rsidRDefault="002F43BE" w:rsidP="002F43BE">
      <w:pPr>
        <w:ind w:right="-108"/>
        <w:jc w:val="both"/>
        <w:rPr>
          <w:rFonts w:cs="Arial"/>
          <w:b/>
        </w:rPr>
      </w:pPr>
    </w:p>
    <w:p w14:paraId="7D84057E" w14:textId="4C9B0456" w:rsidR="002F43BE" w:rsidRPr="002F43BE" w:rsidRDefault="002F43BE" w:rsidP="006708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28"/>
        <w:jc w:val="both"/>
        <w:rPr>
          <w:rFonts w:cs="Arial"/>
          <w:szCs w:val="22"/>
        </w:rPr>
      </w:pPr>
      <w:r w:rsidRPr="001A5FB0">
        <w:rPr>
          <w:rFonts w:cs="Arial"/>
          <w:szCs w:val="22"/>
        </w:rPr>
        <w:t>The following table reflects the Company’s proportionate share of the fair value of investments in the Reinsurer held by the</w:t>
      </w:r>
      <w:r>
        <w:rPr>
          <w:rFonts w:cs="Arial"/>
          <w:szCs w:val="22"/>
        </w:rPr>
        <w:t xml:space="preserve"> Master Fund at 31 December 2015</w:t>
      </w:r>
      <w:r w:rsidRPr="001A5FB0">
        <w:rPr>
          <w:rFonts w:cs="Arial"/>
          <w:szCs w:val="22"/>
        </w:rPr>
        <w:t>.</w:t>
      </w:r>
    </w:p>
    <w:tbl>
      <w:tblPr>
        <w:tblW w:w="0" w:type="auto"/>
        <w:tblLook w:val="00A0" w:firstRow="1" w:lastRow="0" w:firstColumn="1" w:lastColumn="0" w:noHBand="0" w:noVBand="0"/>
      </w:tblPr>
      <w:tblGrid>
        <w:gridCol w:w="7621"/>
        <w:gridCol w:w="1538"/>
      </w:tblGrid>
      <w:tr w:rsidR="002F43BE" w:rsidRPr="00563B0C" w14:paraId="61E64027" w14:textId="77777777" w:rsidTr="008A2614">
        <w:tc>
          <w:tcPr>
            <w:tcW w:w="7621" w:type="dxa"/>
          </w:tcPr>
          <w:p w14:paraId="671FC975" w14:textId="77777777" w:rsidR="002F43BE" w:rsidRPr="00563B0C" w:rsidRDefault="002F43BE" w:rsidP="002F43BE">
            <w:pPr>
              <w:pStyle w:val="BodyText2"/>
              <w:tabs>
                <w:tab w:val="clear" w:pos="1260"/>
                <w:tab w:val="clear" w:pos="8100"/>
                <w:tab w:val="clear" w:pos="9360"/>
              </w:tabs>
              <w:suppressAutoHyphens w:val="0"/>
              <w:rPr>
                <w:rFonts w:cs="Arial"/>
                <w:sz w:val="22"/>
                <w:szCs w:val="22"/>
              </w:rPr>
            </w:pPr>
          </w:p>
        </w:tc>
        <w:tc>
          <w:tcPr>
            <w:tcW w:w="1439" w:type="dxa"/>
          </w:tcPr>
          <w:p w14:paraId="4980811E" w14:textId="77777777" w:rsidR="002F43BE" w:rsidRPr="00563B0C" w:rsidRDefault="002F43BE" w:rsidP="002F43BE">
            <w:pPr>
              <w:pStyle w:val="BodyText2"/>
              <w:tabs>
                <w:tab w:val="clear" w:pos="1260"/>
                <w:tab w:val="clear" w:pos="8100"/>
                <w:tab w:val="clear" w:pos="9360"/>
              </w:tabs>
              <w:suppressAutoHyphens w:val="0"/>
              <w:jc w:val="right"/>
              <w:rPr>
                <w:rFonts w:cs="Arial"/>
                <w:sz w:val="22"/>
                <w:szCs w:val="22"/>
              </w:rPr>
            </w:pPr>
          </w:p>
        </w:tc>
      </w:tr>
      <w:tr w:rsidR="002F43BE" w:rsidRPr="00834A8C" w14:paraId="145A294B" w14:textId="77777777" w:rsidTr="008A2614">
        <w:tc>
          <w:tcPr>
            <w:tcW w:w="7621" w:type="dxa"/>
          </w:tcPr>
          <w:p w14:paraId="5937F35B" w14:textId="3F7DFC11" w:rsidR="002F43BE" w:rsidRPr="00834A8C" w:rsidRDefault="002F43BE" w:rsidP="002F43BE">
            <w:pPr>
              <w:jc w:val="both"/>
              <w:rPr>
                <w:rFonts w:cs="Arial"/>
                <w:i/>
                <w:spacing w:val="-2"/>
                <w:szCs w:val="22"/>
              </w:rPr>
            </w:pPr>
            <w:r w:rsidRPr="00834A8C">
              <w:rPr>
                <w:rFonts w:cs="Arial"/>
                <w:i/>
                <w:spacing w:val="-2"/>
                <w:szCs w:val="22"/>
              </w:rPr>
              <w:t xml:space="preserve">Preference Shares </w:t>
            </w:r>
            <w:r w:rsidR="00401150">
              <w:rPr>
                <w:rFonts w:cs="Arial"/>
                <w:i/>
                <w:spacing w:val="-2"/>
                <w:szCs w:val="22"/>
              </w:rPr>
              <w:t>-</w:t>
            </w:r>
          </w:p>
          <w:p w14:paraId="527FC612" w14:textId="77777777" w:rsidR="002F43BE" w:rsidRPr="00834A8C" w:rsidRDefault="002F43BE" w:rsidP="002F43BE">
            <w:pPr>
              <w:jc w:val="both"/>
              <w:rPr>
                <w:rFonts w:cs="Arial"/>
                <w:i/>
                <w:spacing w:val="-2"/>
                <w:szCs w:val="22"/>
              </w:rPr>
            </w:pPr>
            <w:r w:rsidRPr="00834A8C">
              <w:rPr>
                <w:rFonts w:cs="Arial"/>
                <w:i/>
                <w:spacing w:val="-2"/>
                <w:szCs w:val="22"/>
              </w:rPr>
              <w:t>Investments in CATCo-Re Ltd.</w:t>
            </w:r>
          </w:p>
        </w:tc>
        <w:tc>
          <w:tcPr>
            <w:tcW w:w="1439" w:type="dxa"/>
          </w:tcPr>
          <w:p w14:paraId="0ADE7C7B" w14:textId="77777777" w:rsidR="002F43BE" w:rsidRPr="00834A8C" w:rsidRDefault="002F43BE" w:rsidP="002F43BE">
            <w:pPr>
              <w:pStyle w:val="BodyText2"/>
              <w:tabs>
                <w:tab w:val="clear" w:pos="1260"/>
                <w:tab w:val="clear" w:pos="8100"/>
                <w:tab w:val="clear" w:pos="9360"/>
              </w:tabs>
              <w:suppressAutoHyphens w:val="0"/>
              <w:jc w:val="right"/>
              <w:rPr>
                <w:rFonts w:cs="Arial"/>
                <w:i/>
                <w:sz w:val="22"/>
                <w:szCs w:val="22"/>
              </w:rPr>
            </w:pPr>
            <w:r w:rsidRPr="00834A8C">
              <w:rPr>
                <w:rFonts w:cs="Arial"/>
                <w:i/>
                <w:sz w:val="22"/>
                <w:szCs w:val="22"/>
              </w:rPr>
              <w:t xml:space="preserve">$ Fair Value </w:t>
            </w:r>
          </w:p>
        </w:tc>
      </w:tr>
      <w:tr w:rsidR="002F43BE" w:rsidRPr="00563B0C" w14:paraId="516ACD38" w14:textId="77777777" w:rsidTr="008A2614">
        <w:tc>
          <w:tcPr>
            <w:tcW w:w="7621" w:type="dxa"/>
          </w:tcPr>
          <w:p w14:paraId="61EED4F9" w14:textId="77777777" w:rsidR="002F43BE" w:rsidRPr="00563B0C" w:rsidRDefault="002F43BE" w:rsidP="002F43BE">
            <w:pPr>
              <w:pStyle w:val="BodyText2"/>
              <w:tabs>
                <w:tab w:val="clear" w:pos="1260"/>
                <w:tab w:val="clear" w:pos="8100"/>
                <w:tab w:val="clear" w:pos="9360"/>
              </w:tabs>
              <w:suppressAutoHyphens w:val="0"/>
              <w:rPr>
                <w:rFonts w:cs="Arial"/>
                <w:sz w:val="22"/>
                <w:szCs w:val="22"/>
              </w:rPr>
            </w:pPr>
          </w:p>
        </w:tc>
        <w:tc>
          <w:tcPr>
            <w:tcW w:w="1439" w:type="dxa"/>
          </w:tcPr>
          <w:p w14:paraId="226D2D2D" w14:textId="7F4B3851" w:rsidR="002F43BE" w:rsidRPr="00563B0C" w:rsidRDefault="002F43BE" w:rsidP="002F43BE">
            <w:pPr>
              <w:pStyle w:val="BodyText2"/>
              <w:tabs>
                <w:tab w:val="clear" w:pos="1260"/>
                <w:tab w:val="clear" w:pos="8100"/>
                <w:tab w:val="clear" w:pos="9360"/>
              </w:tabs>
              <w:suppressAutoHyphens w:val="0"/>
              <w:jc w:val="right"/>
              <w:rPr>
                <w:rFonts w:cs="Arial"/>
                <w:sz w:val="22"/>
                <w:szCs w:val="22"/>
              </w:rPr>
            </w:pPr>
          </w:p>
        </w:tc>
      </w:tr>
      <w:tr w:rsidR="007D4D26" w:rsidRPr="00563B0C" w14:paraId="552B1035" w14:textId="77777777" w:rsidTr="008A2614">
        <w:tc>
          <w:tcPr>
            <w:tcW w:w="7621" w:type="dxa"/>
          </w:tcPr>
          <w:p w14:paraId="094FCE30" w14:textId="006A5846" w:rsidR="007D4D26" w:rsidRPr="00563B0C" w:rsidRDefault="007D4D26" w:rsidP="00401150">
            <w:pPr>
              <w:pStyle w:val="BodyText2"/>
              <w:tabs>
                <w:tab w:val="clear" w:pos="1260"/>
                <w:tab w:val="clear" w:pos="8100"/>
                <w:tab w:val="clear" w:pos="9360"/>
              </w:tabs>
              <w:suppressAutoHyphens w:val="0"/>
              <w:rPr>
                <w:rFonts w:cs="Arial"/>
                <w:sz w:val="22"/>
                <w:szCs w:val="22"/>
              </w:rPr>
            </w:pPr>
            <w:r>
              <w:rPr>
                <w:rFonts w:cs="Arial"/>
                <w:sz w:val="22"/>
                <w:szCs w:val="22"/>
              </w:rPr>
              <w:t xml:space="preserve">Class AE </w:t>
            </w:r>
            <w:r w:rsidR="00401150">
              <w:rPr>
                <w:rFonts w:cs="Arial"/>
                <w:sz w:val="22"/>
                <w:szCs w:val="22"/>
              </w:rPr>
              <w:t>Preference</w:t>
            </w:r>
            <w:r>
              <w:rPr>
                <w:rFonts w:cs="Arial"/>
                <w:sz w:val="22"/>
                <w:szCs w:val="22"/>
              </w:rPr>
              <w:t xml:space="preserve"> Shares</w:t>
            </w:r>
          </w:p>
        </w:tc>
        <w:tc>
          <w:tcPr>
            <w:tcW w:w="1439" w:type="dxa"/>
          </w:tcPr>
          <w:p w14:paraId="55A5D00B" w14:textId="3B62FB5E" w:rsidR="007D4D26"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1,223,811</w:t>
            </w:r>
          </w:p>
        </w:tc>
      </w:tr>
      <w:tr w:rsidR="007D4D26" w:rsidRPr="00563B0C" w14:paraId="4A434BF1" w14:textId="77777777" w:rsidTr="008A2614">
        <w:tc>
          <w:tcPr>
            <w:tcW w:w="7621" w:type="dxa"/>
          </w:tcPr>
          <w:p w14:paraId="7019B5C4" w14:textId="0AC92E61" w:rsidR="007D4D26" w:rsidRPr="00563B0C"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AF </w:t>
            </w:r>
            <w:r w:rsidR="00401150">
              <w:rPr>
                <w:rFonts w:cs="Arial"/>
                <w:sz w:val="22"/>
                <w:szCs w:val="22"/>
              </w:rPr>
              <w:t>Preference</w:t>
            </w:r>
            <w:r>
              <w:rPr>
                <w:rFonts w:cs="Arial"/>
                <w:sz w:val="22"/>
                <w:szCs w:val="22"/>
              </w:rPr>
              <w:t xml:space="preserve"> Shares</w:t>
            </w:r>
            <w:r>
              <w:rPr>
                <w:rFonts w:cs="Arial"/>
                <w:sz w:val="22"/>
                <w:szCs w:val="22"/>
              </w:rPr>
              <w:tab/>
            </w:r>
          </w:p>
        </w:tc>
        <w:tc>
          <w:tcPr>
            <w:tcW w:w="1439" w:type="dxa"/>
          </w:tcPr>
          <w:p w14:paraId="255F0B5A" w14:textId="5F520BB8"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711,469</w:t>
            </w:r>
          </w:p>
        </w:tc>
      </w:tr>
      <w:tr w:rsidR="007D4D26" w:rsidRPr="00563B0C" w14:paraId="2A13D553" w14:textId="77777777" w:rsidTr="008A2614">
        <w:tc>
          <w:tcPr>
            <w:tcW w:w="7621" w:type="dxa"/>
          </w:tcPr>
          <w:p w14:paraId="12C54B00" w14:textId="63050002"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AH </w:t>
            </w:r>
            <w:r w:rsidR="00401150">
              <w:rPr>
                <w:rFonts w:cs="Arial"/>
                <w:sz w:val="22"/>
                <w:szCs w:val="22"/>
              </w:rPr>
              <w:t>Preference</w:t>
            </w:r>
            <w:r>
              <w:rPr>
                <w:rFonts w:cs="Arial"/>
                <w:sz w:val="22"/>
                <w:szCs w:val="22"/>
              </w:rPr>
              <w:t xml:space="preserve"> Shares</w:t>
            </w:r>
          </w:p>
        </w:tc>
        <w:tc>
          <w:tcPr>
            <w:tcW w:w="1439" w:type="dxa"/>
          </w:tcPr>
          <w:p w14:paraId="35DAE870" w14:textId="699886CE"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895,303</w:t>
            </w:r>
          </w:p>
        </w:tc>
      </w:tr>
      <w:tr w:rsidR="007D4D26" w:rsidRPr="00563B0C" w14:paraId="33B29EDB" w14:textId="77777777" w:rsidTr="008A2614">
        <w:tc>
          <w:tcPr>
            <w:tcW w:w="7621" w:type="dxa"/>
          </w:tcPr>
          <w:p w14:paraId="55EB9350" w14:textId="51DE4A34" w:rsidR="007D4D26" w:rsidRPr="00563B0C"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BE </w:t>
            </w:r>
            <w:r w:rsidR="00401150">
              <w:rPr>
                <w:rFonts w:cs="Arial"/>
                <w:sz w:val="22"/>
                <w:szCs w:val="22"/>
              </w:rPr>
              <w:t>Preference</w:t>
            </w:r>
            <w:r>
              <w:rPr>
                <w:rFonts w:cs="Arial"/>
                <w:sz w:val="22"/>
                <w:szCs w:val="22"/>
              </w:rPr>
              <w:t xml:space="preserve"> Shares</w:t>
            </w:r>
          </w:p>
        </w:tc>
        <w:tc>
          <w:tcPr>
            <w:tcW w:w="1439" w:type="dxa"/>
          </w:tcPr>
          <w:p w14:paraId="497F4CD0" w14:textId="1B787B6F"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673,307</w:t>
            </w:r>
          </w:p>
        </w:tc>
      </w:tr>
      <w:tr w:rsidR="007D4D26" w:rsidRPr="00563B0C" w14:paraId="528533B8" w14:textId="77777777" w:rsidTr="008A2614">
        <w:tc>
          <w:tcPr>
            <w:tcW w:w="7621" w:type="dxa"/>
          </w:tcPr>
          <w:p w14:paraId="6685027C" w14:textId="57D188D4" w:rsidR="007D4D26" w:rsidRPr="00563B0C"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BF </w:t>
            </w:r>
            <w:r w:rsidR="00401150">
              <w:rPr>
                <w:rFonts w:cs="Arial"/>
                <w:sz w:val="22"/>
                <w:szCs w:val="22"/>
              </w:rPr>
              <w:t>Preference</w:t>
            </w:r>
            <w:r>
              <w:rPr>
                <w:rFonts w:cs="Arial"/>
                <w:sz w:val="22"/>
                <w:szCs w:val="22"/>
              </w:rPr>
              <w:t xml:space="preserve"> Shares</w:t>
            </w:r>
          </w:p>
        </w:tc>
        <w:tc>
          <w:tcPr>
            <w:tcW w:w="1439" w:type="dxa"/>
          </w:tcPr>
          <w:p w14:paraId="17BD4177" w14:textId="782408B1"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770,068</w:t>
            </w:r>
          </w:p>
        </w:tc>
      </w:tr>
      <w:tr w:rsidR="007D4D26" w:rsidRPr="00563B0C" w14:paraId="7129F60D" w14:textId="77777777" w:rsidTr="008A2614">
        <w:tc>
          <w:tcPr>
            <w:tcW w:w="7621" w:type="dxa"/>
          </w:tcPr>
          <w:p w14:paraId="5B1DEA3E" w14:textId="1C7B01FD"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BJ </w:t>
            </w:r>
            <w:r w:rsidR="00401150">
              <w:rPr>
                <w:rFonts w:cs="Arial"/>
                <w:sz w:val="22"/>
                <w:szCs w:val="22"/>
              </w:rPr>
              <w:t>Preference</w:t>
            </w:r>
            <w:r>
              <w:rPr>
                <w:rFonts w:cs="Arial"/>
                <w:sz w:val="22"/>
                <w:szCs w:val="22"/>
              </w:rPr>
              <w:t xml:space="preserve"> Shares</w:t>
            </w:r>
          </w:p>
        </w:tc>
        <w:tc>
          <w:tcPr>
            <w:tcW w:w="1439" w:type="dxa"/>
          </w:tcPr>
          <w:p w14:paraId="25B0228B" w14:textId="196E776C"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1,548,021</w:t>
            </w:r>
          </w:p>
        </w:tc>
      </w:tr>
      <w:tr w:rsidR="007D4D26" w:rsidRPr="00563B0C" w14:paraId="24ADE3A0" w14:textId="77777777" w:rsidTr="008A2614">
        <w:tc>
          <w:tcPr>
            <w:tcW w:w="7621" w:type="dxa"/>
          </w:tcPr>
          <w:p w14:paraId="71D13C78" w14:textId="3607F9A3"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BV </w:t>
            </w:r>
            <w:r w:rsidR="00401150">
              <w:rPr>
                <w:rFonts w:cs="Arial"/>
                <w:sz w:val="22"/>
                <w:szCs w:val="22"/>
              </w:rPr>
              <w:t>Preference</w:t>
            </w:r>
            <w:r>
              <w:rPr>
                <w:rFonts w:cs="Arial"/>
                <w:sz w:val="22"/>
                <w:szCs w:val="22"/>
              </w:rPr>
              <w:t xml:space="preserve"> Shares</w:t>
            </w:r>
          </w:p>
        </w:tc>
        <w:tc>
          <w:tcPr>
            <w:tcW w:w="1439" w:type="dxa"/>
          </w:tcPr>
          <w:p w14:paraId="0309A93B" w14:textId="3DE82D4C"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5,263,700</w:t>
            </w:r>
          </w:p>
        </w:tc>
      </w:tr>
      <w:tr w:rsidR="007D4D26" w:rsidRPr="00563B0C" w14:paraId="009B0A33" w14:textId="77777777" w:rsidTr="008A2614">
        <w:tc>
          <w:tcPr>
            <w:tcW w:w="7621" w:type="dxa"/>
          </w:tcPr>
          <w:p w14:paraId="3E022487" w14:textId="6B00BAED"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BW </w:t>
            </w:r>
            <w:r w:rsidR="00401150">
              <w:rPr>
                <w:rFonts w:cs="Arial"/>
                <w:sz w:val="22"/>
                <w:szCs w:val="22"/>
              </w:rPr>
              <w:t>Preference</w:t>
            </w:r>
            <w:r>
              <w:rPr>
                <w:rFonts w:cs="Arial"/>
                <w:sz w:val="22"/>
                <w:szCs w:val="22"/>
              </w:rPr>
              <w:t xml:space="preserve"> Shares</w:t>
            </w:r>
          </w:p>
        </w:tc>
        <w:tc>
          <w:tcPr>
            <w:tcW w:w="1439" w:type="dxa"/>
          </w:tcPr>
          <w:p w14:paraId="734030BF" w14:textId="0F1E85E4"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866,351</w:t>
            </w:r>
          </w:p>
        </w:tc>
      </w:tr>
      <w:tr w:rsidR="007D4D26" w:rsidRPr="00563B0C" w14:paraId="6BA7684D" w14:textId="77777777" w:rsidTr="008A2614">
        <w:tc>
          <w:tcPr>
            <w:tcW w:w="7621" w:type="dxa"/>
          </w:tcPr>
          <w:p w14:paraId="56E2EEEA" w14:textId="161018B3"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CF </w:t>
            </w:r>
            <w:r w:rsidR="00401150">
              <w:rPr>
                <w:rFonts w:cs="Arial"/>
                <w:sz w:val="22"/>
                <w:szCs w:val="22"/>
              </w:rPr>
              <w:t>Preference</w:t>
            </w:r>
            <w:r>
              <w:rPr>
                <w:rFonts w:cs="Arial"/>
                <w:sz w:val="22"/>
                <w:szCs w:val="22"/>
              </w:rPr>
              <w:t xml:space="preserve"> Shares</w:t>
            </w:r>
          </w:p>
        </w:tc>
        <w:tc>
          <w:tcPr>
            <w:tcW w:w="1439" w:type="dxa"/>
          </w:tcPr>
          <w:p w14:paraId="5AF45D2D" w14:textId="21034808"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1,420,588</w:t>
            </w:r>
          </w:p>
        </w:tc>
      </w:tr>
      <w:tr w:rsidR="007D4D26" w:rsidRPr="00563B0C" w14:paraId="484444AC" w14:textId="77777777" w:rsidTr="008A2614">
        <w:tc>
          <w:tcPr>
            <w:tcW w:w="7621" w:type="dxa"/>
          </w:tcPr>
          <w:p w14:paraId="105953D4" w14:textId="02905596"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CG </w:t>
            </w:r>
            <w:r w:rsidR="00401150">
              <w:rPr>
                <w:rFonts w:cs="Arial"/>
                <w:sz w:val="22"/>
                <w:szCs w:val="22"/>
              </w:rPr>
              <w:t>Preference</w:t>
            </w:r>
            <w:r>
              <w:rPr>
                <w:rFonts w:cs="Arial"/>
                <w:sz w:val="22"/>
                <w:szCs w:val="22"/>
              </w:rPr>
              <w:t xml:space="preserve"> Shares</w:t>
            </w:r>
          </w:p>
        </w:tc>
        <w:tc>
          <w:tcPr>
            <w:tcW w:w="1439" w:type="dxa"/>
          </w:tcPr>
          <w:p w14:paraId="4DF19740" w14:textId="15EF2A55"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1,425,306</w:t>
            </w:r>
          </w:p>
        </w:tc>
      </w:tr>
      <w:tr w:rsidR="007D4D26" w:rsidRPr="00563B0C" w14:paraId="1F66AC21" w14:textId="77777777" w:rsidTr="008A2614">
        <w:tc>
          <w:tcPr>
            <w:tcW w:w="7621" w:type="dxa"/>
          </w:tcPr>
          <w:p w14:paraId="7E0B4CD4" w14:textId="763004B3"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CJ </w:t>
            </w:r>
            <w:r w:rsidR="00401150">
              <w:rPr>
                <w:rFonts w:cs="Arial"/>
                <w:sz w:val="22"/>
                <w:szCs w:val="22"/>
              </w:rPr>
              <w:t>Preference</w:t>
            </w:r>
            <w:r>
              <w:rPr>
                <w:rFonts w:cs="Arial"/>
                <w:sz w:val="22"/>
                <w:szCs w:val="22"/>
              </w:rPr>
              <w:t xml:space="preserve"> Shares</w:t>
            </w:r>
          </w:p>
        </w:tc>
        <w:tc>
          <w:tcPr>
            <w:tcW w:w="1439" w:type="dxa"/>
          </w:tcPr>
          <w:p w14:paraId="128F52C3" w14:textId="1337C70A"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5,706,906</w:t>
            </w:r>
          </w:p>
        </w:tc>
      </w:tr>
      <w:tr w:rsidR="007D4D26" w:rsidRPr="00563B0C" w14:paraId="01D6779C" w14:textId="77777777" w:rsidTr="008A2614">
        <w:tc>
          <w:tcPr>
            <w:tcW w:w="7621" w:type="dxa"/>
          </w:tcPr>
          <w:p w14:paraId="40E624B0" w14:textId="2B31437D" w:rsidR="007D4D26" w:rsidRPr="00563B0C"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CL </w:t>
            </w:r>
            <w:r w:rsidR="00401150">
              <w:rPr>
                <w:rFonts w:cs="Arial"/>
                <w:sz w:val="22"/>
                <w:szCs w:val="22"/>
              </w:rPr>
              <w:t>Preference</w:t>
            </w:r>
            <w:r>
              <w:rPr>
                <w:rFonts w:cs="Arial"/>
                <w:sz w:val="22"/>
                <w:szCs w:val="22"/>
              </w:rPr>
              <w:t xml:space="preserve"> Shares</w:t>
            </w:r>
          </w:p>
        </w:tc>
        <w:tc>
          <w:tcPr>
            <w:tcW w:w="1439" w:type="dxa"/>
          </w:tcPr>
          <w:p w14:paraId="581A3E57" w14:textId="5DDB7B09"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2,446,006</w:t>
            </w:r>
          </w:p>
        </w:tc>
      </w:tr>
      <w:tr w:rsidR="007D4D26" w:rsidRPr="00563B0C" w14:paraId="120BA828" w14:textId="77777777" w:rsidTr="008A2614">
        <w:tc>
          <w:tcPr>
            <w:tcW w:w="7621" w:type="dxa"/>
          </w:tcPr>
          <w:p w14:paraId="1BB753A5" w14:textId="1BF6D194"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CM </w:t>
            </w:r>
            <w:r w:rsidR="00401150">
              <w:rPr>
                <w:rFonts w:cs="Arial"/>
                <w:sz w:val="22"/>
                <w:szCs w:val="22"/>
              </w:rPr>
              <w:t>Preference</w:t>
            </w:r>
            <w:r>
              <w:rPr>
                <w:rFonts w:cs="Arial"/>
                <w:sz w:val="22"/>
                <w:szCs w:val="22"/>
              </w:rPr>
              <w:t xml:space="preserve"> Shares</w:t>
            </w:r>
          </w:p>
        </w:tc>
        <w:tc>
          <w:tcPr>
            <w:tcW w:w="1439" w:type="dxa"/>
          </w:tcPr>
          <w:p w14:paraId="6310AEB8" w14:textId="480BEF25"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1,158,793</w:t>
            </w:r>
          </w:p>
        </w:tc>
      </w:tr>
      <w:tr w:rsidR="007D4D26" w:rsidRPr="00563B0C" w14:paraId="027FFFD3" w14:textId="77777777" w:rsidTr="008A2614">
        <w:tc>
          <w:tcPr>
            <w:tcW w:w="7621" w:type="dxa"/>
          </w:tcPr>
          <w:p w14:paraId="643EBBCE" w14:textId="66D2D2F6"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CY </w:t>
            </w:r>
            <w:r w:rsidR="00401150">
              <w:rPr>
                <w:rFonts w:cs="Arial"/>
                <w:sz w:val="22"/>
                <w:szCs w:val="22"/>
              </w:rPr>
              <w:t>Preference</w:t>
            </w:r>
            <w:r>
              <w:rPr>
                <w:rFonts w:cs="Arial"/>
                <w:sz w:val="22"/>
                <w:szCs w:val="22"/>
              </w:rPr>
              <w:t xml:space="preserve"> Shares</w:t>
            </w:r>
            <w:r>
              <w:rPr>
                <w:rFonts w:cs="Arial"/>
                <w:sz w:val="22"/>
                <w:szCs w:val="22"/>
              </w:rPr>
              <w:tab/>
            </w:r>
          </w:p>
        </w:tc>
        <w:tc>
          <w:tcPr>
            <w:tcW w:w="1439" w:type="dxa"/>
          </w:tcPr>
          <w:p w14:paraId="55B7AD4B" w14:textId="0CE24758"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714,540</w:t>
            </w:r>
          </w:p>
        </w:tc>
      </w:tr>
      <w:tr w:rsidR="007D4D26" w:rsidRPr="00563B0C" w14:paraId="74F9FD9A" w14:textId="77777777" w:rsidTr="008A2614">
        <w:trPr>
          <w:trHeight w:val="70"/>
        </w:trPr>
        <w:tc>
          <w:tcPr>
            <w:tcW w:w="7621" w:type="dxa"/>
          </w:tcPr>
          <w:p w14:paraId="0385F282" w14:textId="40F40A0C"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CZ </w:t>
            </w:r>
            <w:r w:rsidR="00401150">
              <w:rPr>
                <w:rFonts w:cs="Arial"/>
                <w:sz w:val="22"/>
                <w:szCs w:val="22"/>
              </w:rPr>
              <w:t>Preference</w:t>
            </w:r>
            <w:r>
              <w:rPr>
                <w:rFonts w:cs="Arial"/>
                <w:sz w:val="22"/>
                <w:szCs w:val="22"/>
              </w:rPr>
              <w:t xml:space="preserve"> Shares</w:t>
            </w:r>
          </w:p>
        </w:tc>
        <w:tc>
          <w:tcPr>
            <w:tcW w:w="1439" w:type="dxa"/>
          </w:tcPr>
          <w:p w14:paraId="44B52930" w14:textId="5FD7B9D5"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8,429,733</w:t>
            </w:r>
          </w:p>
        </w:tc>
      </w:tr>
      <w:tr w:rsidR="007D4D26" w:rsidRPr="00563B0C" w14:paraId="12973759" w14:textId="77777777" w:rsidTr="008A2614">
        <w:tc>
          <w:tcPr>
            <w:tcW w:w="7621" w:type="dxa"/>
          </w:tcPr>
          <w:p w14:paraId="3582F26F" w14:textId="6D3250AA"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DA </w:t>
            </w:r>
            <w:r w:rsidR="00401150">
              <w:rPr>
                <w:rFonts w:cs="Arial"/>
                <w:sz w:val="22"/>
                <w:szCs w:val="22"/>
              </w:rPr>
              <w:t>Preference</w:t>
            </w:r>
            <w:r>
              <w:rPr>
                <w:rFonts w:cs="Arial"/>
                <w:sz w:val="22"/>
                <w:szCs w:val="22"/>
              </w:rPr>
              <w:t xml:space="preserve"> Shares</w:t>
            </w:r>
          </w:p>
        </w:tc>
        <w:tc>
          <w:tcPr>
            <w:tcW w:w="1439" w:type="dxa"/>
          </w:tcPr>
          <w:p w14:paraId="7B9B5EF8" w14:textId="7201096D"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1,395,503</w:t>
            </w:r>
          </w:p>
        </w:tc>
      </w:tr>
      <w:tr w:rsidR="007D4D26" w:rsidRPr="00563B0C" w14:paraId="3AC9AD58" w14:textId="77777777" w:rsidTr="008A2614">
        <w:tc>
          <w:tcPr>
            <w:tcW w:w="7621" w:type="dxa"/>
          </w:tcPr>
          <w:p w14:paraId="4E33107F" w14:textId="3E4D6F96"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DB </w:t>
            </w:r>
            <w:r w:rsidR="00401150">
              <w:rPr>
                <w:rFonts w:cs="Arial"/>
                <w:sz w:val="22"/>
                <w:szCs w:val="22"/>
              </w:rPr>
              <w:t>Preference</w:t>
            </w:r>
            <w:r>
              <w:rPr>
                <w:rFonts w:cs="Arial"/>
                <w:sz w:val="22"/>
                <w:szCs w:val="22"/>
              </w:rPr>
              <w:t xml:space="preserve"> Shares</w:t>
            </w:r>
          </w:p>
        </w:tc>
        <w:tc>
          <w:tcPr>
            <w:tcW w:w="1439" w:type="dxa"/>
          </w:tcPr>
          <w:p w14:paraId="180CB6B3" w14:textId="2CD38DC4"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5,597,618</w:t>
            </w:r>
          </w:p>
        </w:tc>
      </w:tr>
      <w:tr w:rsidR="007D4D26" w:rsidRPr="00563B0C" w14:paraId="2C22320C" w14:textId="77777777" w:rsidTr="008A2614">
        <w:tc>
          <w:tcPr>
            <w:tcW w:w="7621" w:type="dxa"/>
          </w:tcPr>
          <w:p w14:paraId="660BEB46" w14:textId="3BBEA1A3"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DC </w:t>
            </w:r>
            <w:r w:rsidR="00401150">
              <w:rPr>
                <w:rFonts w:cs="Arial"/>
                <w:sz w:val="22"/>
                <w:szCs w:val="22"/>
              </w:rPr>
              <w:t>Preference</w:t>
            </w:r>
            <w:r>
              <w:rPr>
                <w:rFonts w:cs="Arial"/>
                <w:sz w:val="22"/>
                <w:szCs w:val="22"/>
              </w:rPr>
              <w:t xml:space="preserve"> Shares</w:t>
            </w:r>
          </w:p>
        </w:tc>
        <w:tc>
          <w:tcPr>
            <w:tcW w:w="1439" w:type="dxa"/>
          </w:tcPr>
          <w:p w14:paraId="724DC241" w14:textId="4AF252B9"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5,021,051</w:t>
            </w:r>
          </w:p>
        </w:tc>
      </w:tr>
      <w:tr w:rsidR="007D4D26" w:rsidRPr="00563B0C" w14:paraId="1A4F4EDA" w14:textId="77777777" w:rsidTr="008A2614">
        <w:tc>
          <w:tcPr>
            <w:tcW w:w="7621" w:type="dxa"/>
          </w:tcPr>
          <w:p w14:paraId="36E6C8B5" w14:textId="1B4BC362"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DE </w:t>
            </w:r>
            <w:r w:rsidR="00401150">
              <w:rPr>
                <w:rFonts w:cs="Arial"/>
                <w:sz w:val="22"/>
                <w:szCs w:val="22"/>
              </w:rPr>
              <w:t>Preference</w:t>
            </w:r>
            <w:r>
              <w:rPr>
                <w:rFonts w:cs="Arial"/>
                <w:sz w:val="22"/>
                <w:szCs w:val="22"/>
              </w:rPr>
              <w:t xml:space="preserve"> Shares</w:t>
            </w:r>
          </w:p>
        </w:tc>
        <w:tc>
          <w:tcPr>
            <w:tcW w:w="1439" w:type="dxa"/>
          </w:tcPr>
          <w:p w14:paraId="4EAE9322" w14:textId="4D5C57BA"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1,593,616</w:t>
            </w:r>
          </w:p>
        </w:tc>
      </w:tr>
      <w:tr w:rsidR="007D4D26" w:rsidRPr="00563B0C" w14:paraId="5FA805A6" w14:textId="77777777" w:rsidTr="008A2614">
        <w:tc>
          <w:tcPr>
            <w:tcW w:w="7621" w:type="dxa"/>
          </w:tcPr>
          <w:p w14:paraId="6F90D051" w14:textId="44933FEC"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DF </w:t>
            </w:r>
            <w:r w:rsidR="00401150">
              <w:rPr>
                <w:rFonts w:cs="Arial"/>
                <w:sz w:val="22"/>
                <w:szCs w:val="22"/>
              </w:rPr>
              <w:t>Preference</w:t>
            </w:r>
            <w:r>
              <w:rPr>
                <w:rFonts w:cs="Arial"/>
                <w:sz w:val="22"/>
                <w:szCs w:val="22"/>
              </w:rPr>
              <w:t xml:space="preserve"> Shares</w:t>
            </w:r>
          </w:p>
        </w:tc>
        <w:tc>
          <w:tcPr>
            <w:tcW w:w="1439" w:type="dxa"/>
          </w:tcPr>
          <w:p w14:paraId="2194AC70" w14:textId="6A9E5036"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7,534,096</w:t>
            </w:r>
          </w:p>
        </w:tc>
      </w:tr>
      <w:tr w:rsidR="007D4D26" w:rsidRPr="00563B0C" w14:paraId="429C48EB" w14:textId="77777777" w:rsidTr="008A2614">
        <w:tc>
          <w:tcPr>
            <w:tcW w:w="7621" w:type="dxa"/>
          </w:tcPr>
          <w:p w14:paraId="4BED9DA7" w14:textId="600818D9"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DG </w:t>
            </w:r>
            <w:r w:rsidR="00401150">
              <w:rPr>
                <w:rFonts w:cs="Arial"/>
                <w:sz w:val="22"/>
                <w:szCs w:val="22"/>
              </w:rPr>
              <w:t>Preference</w:t>
            </w:r>
            <w:r>
              <w:rPr>
                <w:rFonts w:cs="Arial"/>
                <w:sz w:val="22"/>
                <w:szCs w:val="22"/>
              </w:rPr>
              <w:t xml:space="preserve"> Shares</w:t>
            </w:r>
          </w:p>
        </w:tc>
        <w:tc>
          <w:tcPr>
            <w:tcW w:w="1439" w:type="dxa"/>
          </w:tcPr>
          <w:p w14:paraId="75C5DC2B" w14:textId="5678190F"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2,392,942</w:t>
            </w:r>
          </w:p>
        </w:tc>
      </w:tr>
      <w:tr w:rsidR="007D4D26" w:rsidRPr="00563B0C" w14:paraId="6D458026" w14:textId="77777777" w:rsidTr="008A2614">
        <w:tc>
          <w:tcPr>
            <w:tcW w:w="7621" w:type="dxa"/>
          </w:tcPr>
          <w:p w14:paraId="00A63D69" w14:textId="31AE2E0D"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DH </w:t>
            </w:r>
            <w:r w:rsidR="00401150">
              <w:rPr>
                <w:rFonts w:cs="Arial"/>
                <w:sz w:val="22"/>
                <w:szCs w:val="22"/>
              </w:rPr>
              <w:t>Preference</w:t>
            </w:r>
            <w:r>
              <w:rPr>
                <w:rFonts w:cs="Arial"/>
                <w:sz w:val="22"/>
                <w:szCs w:val="22"/>
              </w:rPr>
              <w:t xml:space="preserve"> Shares</w:t>
            </w:r>
          </w:p>
        </w:tc>
        <w:tc>
          <w:tcPr>
            <w:tcW w:w="1439" w:type="dxa"/>
          </w:tcPr>
          <w:p w14:paraId="048E970D" w14:textId="58662E70"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8,841,186</w:t>
            </w:r>
          </w:p>
        </w:tc>
      </w:tr>
      <w:tr w:rsidR="007D4D26" w:rsidRPr="00563B0C" w14:paraId="10AA3452" w14:textId="77777777" w:rsidTr="008A2614">
        <w:tc>
          <w:tcPr>
            <w:tcW w:w="7621" w:type="dxa"/>
          </w:tcPr>
          <w:p w14:paraId="1E522082" w14:textId="02296DD0"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DI </w:t>
            </w:r>
            <w:r w:rsidR="00401150">
              <w:rPr>
                <w:rFonts w:cs="Arial"/>
                <w:sz w:val="22"/>
                <w:szCs w:val="22"/>
              </w:rPr>
              <w:t>Preference</w:t>
            </w:r>
            <w:r>
              <w:rPr>
                <w:rFonts w:cs="Arial"/>
                <w:sz w:val="22"/>
                <w:szCs w:val="22"/>
              </w:rPr>
              <w:t xml:space="preserve"> Shares</w:t>
            </w:r>
          </w:p>
        </w:tc>
        <w:tc>
          <w:tcPr>
            <w:tcW w:w="1439" w:type="dxa"/>
          </w:tcPr>
          <w:p w14:paraId="4FB5E8A0" w14:textId="63105E4B"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3,772,307</w:t>
            </w:r>
          </w:p>
        </w:tc>
      </w:tr>
      <w:tr w:rsidR="007D4D26" w:rsidRPr="00563B0C" w14:paraId="5FCF9179" w14:textId="77777777" w:rsidTr="008A2614">
        <w:tc>
          <w:tcPr>
            <w:tcW w:w="7621" w:type="dxa"/>
          </w:tcPr>
          <w:p w14:paraId="6CA5DA5E" w14:textId="0A6663D0"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DJ </w:t>
            </w:r>
            <w:r w:rsidR="00401150">
              <w:rPr>
                <w:rFonts w:cs="Arial"/>
                <w:sz w:val="22"/>
                <w:szCs w:val="22"/>
              </w:rPr>
              <w:t>Preference</w:t>
            </w:r>
            <w:r>
              <w:rPr>
                <w:rFonts w:cs="Arial"/>
                <w:sz w:val="22"/>
                <w:szCs w:val="22"/>
              </w:rPr>
              <w:t xml:space="preserve"> Shares</w:t>
            </w:r>
          </w:p>
        </w:tc>
        <w:tc>
          <w:tcPr>
            <w:tcW w:w="1439" w:type="dxa"/>
          </w:tcPr>
          <w:p w14:paraId="31B74B46" w14:textId="05FE5AC3"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19,751,999</w:t>
            </w:r>
          </w:p>
        </w:tc>
      </w:tr>
      <w:tr w:rsidR="007D4D26" w:rsidRPr="00563B0C" w14:paraId="266C05F9" w14:textId="77777777" w:rsidTr="008A2614">
        <w:tc>
          <w:tcPr>
            <w:tcW w:w="7621" w:type="dxa"/>
          </w:tcPr>
          <w:p w14:paraId="390CAF04" w14:textId="150FCC3A"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DK </w:t>
            </w:r>
            <w:r w:rsidR="00401150">
              <w:rPr>
                <w:rFonts w:cs="Arial"/>
                <w:sz w:val="22"/>
                <w:szCs w:val="22"/>
              </w:rPr>
              <w:t>Preference</w:t>
            </w:r>
            <w:r>
              <w:rPr>
                <w:rFonts w:cs="Arial"/>
                <w:sz w:val="22"/>
                <w:szCs w:val="22"/>
              </w:rPr>
              <w:t xml:space="preserve"> Shares</w:t>
            </w:r>
            <w:r>
              <w:rPr>
                <w:rFonts w:cs="Arial"/>
                <w:sz w:val="22"/>
                <w:szCs w:val="22"/>
              </w:rPr>
              <w:tab/>
            </w:r>
          </w:p>
        </w:tc>
        <w:tc>
          <w:tcPr>
            <w:tcW w:w="1439" w:type="dxa"/>
          </w:tcPr>
          <w:p w14:paraId="36A3010C" w14:textId="09EC9374"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14,738,984</w:t>
            </w:r>
          </w:p>
        </w:tc>
      </w:tr>
      <w:tr w:rsidR="007D4D26" w:rsidRPr="00563B0C" w14:paraId="79D9BB18" w14:textId="77777777" w:rsidTr="008A2614">
        <w:tc>
          <w:tcPr>
            <w:tcW w:w="7621" w:type="dxa"/>
          </w:tcPr>
          <w:p w14:paraId="192DE86B" w14:textId="1A1A973E"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DL </w:t>
            </w:r>
            <w:r w:rsidR="00401150">
              <w:rPr>
                <w:rFonts w:cs="Arial"/>
                <w:sz w:val="22"/>
                <w:szCs w:val="22"/>
              </w:rPr>
              <w:t>Preference</w:t>
            </w:r>
            <w:r>
              <w:rPr>
                <w:rFonts w:cs="Arial"/>
                <w:sz w:val="22"/>
                <w:szCs w:val="22"/>
              </w:rPr>
              <w:t xml:space="preserve"> Shares</w:t>
            </w:r>
          </w:p>
        </w:tc>
        <w:tc>
          <w:tcPr>
            <w:tcW w:w="1439" w:type="dxa"/>
          </w:tcPr>
          <w:p w14:paraId="113A04E0" w14:textId="53E18DD9"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20,926,012</w:t>
            </w:r>
          </w:p>
        </w:tc>
      </w:tr>
      <w:tr w:rsidR="007D4D26" w:rsidRPr="00563B0C" w14:paraId="46778DF1" w14:textId="77777777" w:rsidTr="008A2614">
        <w:tc>
          <w:tcPr>
            <w:tcW w:w="7621" w:type="dxa"/>
          </w:tcPr>
          <w:p w14:paraId="30EB90FD" w14:textId="0928E960"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DM </w:t>
            </w:r>
            <w:r w:rsidR="00401150">
              <w:rPr>
                <w:rFonts w:cs="Arial"/>
                <w:sz w:val="22"/>
                <w:szCs w:val="22"/>
              </w:rPr>
              <w:t>Preference</w:t>
            </w:r>
            <w:r>
              <w:rPr>
                <w:rFonts w:cs="Arial"/>
                <w:sz w:val="22"/>
                <w:szCs w:val="22"/>
              </w:rPr>
              <w:t xml:space="preserve"> Shares</w:t>
            </w:r>
          </w:p>
        </w:tc>
        <w:tc>
          <w:tcPr>
            <w:tcW w:w="1439" w:type="dxa"/>
          </w:tcPr>
          <w:p w14:paraId="58260AC2" w14:textId="0F0BAD54"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4,636,909</w:t>
            </w:r>
          </w:p>
        </w:tc>
      </w:tr>
      <w:tr w:rsidR="007D4D26" w:rsidRPr="00563B0C" w14:paraId="25F7BA2C" w14:textId="77777777" w:rsidTr="008A2614">
        <w:tc>
          <w:tcPr>
            <w:tcW w:w="7621" w:type="dxa"/>
          </w:tcPr>
          <w:p w14:paraId="738D2BBE" w14:textId="018DBA6B"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DN </w:t>
            </w:r>
            <w:r w:rsidR="00401150">
              <w:rPr>
                <w:rFonts w:cs="Arial"/>
                <w:sz w:val="22"/>
                <w:szCs w:val="22"/>
              </w:rPr>
              <w:t>Preference</w:t>
            </w:r>
            <w:r>
              <w:rPr>
                <w:rFonts w:cs="Arial"/>
                <w:sz w:val="22"/>
                <w:szCs w:val="22"/>
              </w:rPr>
              <w:t xml:space="preserve"> Shares</w:t>
            </w:r>
          </w:p>
        </w:tc>
        <w:tc>
          <w:tcPr>
            <w:tcW w:w="1439" w:type="dxa"/>
          </w:tcPr>
          <w:p w14:paraId="09D40606" w14:textId="4E052DC8"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15,010,496</w:t>
            </w:r>
          </w:p>
        </w:tc>
      </w:tr>
      <w:tr w:rsidR="007D4D26" w:rsidRPr="00563B0C" w14:paraId="45CEFD62" w14:textId="77777777" w:rsidTr="008A2614">
        <w:tc>
          <w:tcPr>
            <w:tcW w:w="7621" w:type="dxa"/>
          </w:tcPr>
          <w:p w14:paraId="2BADE0FC" w14:textId="35354EFC"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DO </w:t>
            </w:r>
            <w:r w:rsidR="00401150">
              <w:rPr>
                <w:rFonts w:cs="Arial"/>
                <w:sz w:val="22"/>
                <w:szCs w:val="22"/>
              </w:rPr>
              <w:t>Preference</w:t>
            </w:r>
            <w:r>
              <w:rPr>
                <w:rFonts w:cs="Arial"/>
                <w:sz w:val="22"/>
                <w:szCs w:val="22"/>
              </w:rPr>
              <w:t xml:space="preserve"> Shares</w:t>
            </w:r>
          </w:p>
        </w:tc>
        <w:tc>
          <w:tcPr>
            <w:tcW w:w="1439" w:type="dxa"/>
          </w:tcPr>
          <w:p w14:paraId="489CE376" w14:textId="37BA2953"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29,617,064</w:t>
            </w:r>
          </w:p>
        </w:tc>
      </w:tr>
      <w:tr w:rsidR="007D4D26" w:rsidRPr="00563B0C" w14:paraId="42EEEBDA" w14:textId="77777777" w:rsidTr="008A2614">
        <w:tc>
          <w:tcPr>
            <w:tcW w:w="7621" w:type="dxa"/>
          </w:tcPr>
          <w:p w14:paraId="30DB7870" w14:textId="5923ECE8"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DP </w:t>
            </w:r>
            <w:r w:rsidR="00401150">
              <w:rPr>
                <w:rFonts w:cs="Arial"/>
                <w:sz w:val="22"/>
                <w:szCs w:val="22"/>
              </w:rPr>
              <w:t>Preference</w:t>
            </w:r>
            <w:r>
              <w:rPr>
                <w:rFonts w:cs="Arial"/>
                <w:sz w:val="22"/>
                <w:szCs w:val="22"/>
              </w:rPr>
              <w:t xml:space="preserve"> Shares</w:t>
            </w:r>
            <w:r>
              <w:rPr>
                <w:rFonts w:cs="Arial"/>
                <w:sz w:val="22"/>
                <w:szCs w:val="22"/>
              </w:rPr>
              <w:tab/>
            </w:r>
          </w:p>
        </w:tc>
        <w:tc>
          <w:tcPr>
            <w:tcW w:w="1439" w:type="dxa"/>
          </w:tcPr>
          <w:p w14:paraId="6EA82060" w14:textId="7BD01C8E"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15,745,974</w:t>
            </w:r>
          </w:p>
        </w:tc>
      </w:tr>
      <w:tr w:rsidR="007D4D26" w:rsidRPr="00563B0C" w14:paraId="48993606" w14:textId="77777777" w:rsidTr="008A2614">
        <w:tc>
          <w:tcPr>
            <w:tcW w:w="7621" w:type="dxa"/>
          </w:tcPr>
          <w:p w14:paraId="62DAD01A" w14:textId="52445553"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DQ </w:t>
            </w:r>
            <w:r w:rsidR="00401150">
              <w:rPr>
                <w:rFonts w:cs="Arial"/>
                <w:sz w:val="22"/>
                <w:szCs w:val="22"/>
              </w:rPr>
              <w:t>Preference</w:t>
            </w:r>
            <w:r>
              <w:rPr>
                <w:rFonts w:cs="Arial"/>
                <w:sz w:val="22"/>
                <w:szCs w:val="22"/>
              </w:rPr>
              <w:t xml:space="preserve"> Shares</w:t>
            </w:r>
          </w:p>
        </w:tc>
        <w:tc>
          <w:tcPr>
            <w:tcW w:w="1439" w:type="dxa"/>
          </w:tcPr>
          <w:p w14:paraId="7F6E6157" w14:textId="79E477C2" w:rsidR="007D4D26" w:rsidRPr="00563B0C" w:rsidRDefault="007D4D26"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2,943,777</w:t>
            </w:r>
          </w:p>
        </w:tc>
      </w:tr>
      <w:tr w:rsidR="007D4D26" w:rsidRPr="00563B0C" w14:paraId="1C9A921E" w14:textId="77777777" w:rsidTr="008A2614">
        <w:tc>
          <w:tcPr>
            <w:tcW w:w="7621" w:type="dxa"/>
          </w:tcPr>
          <w:p w14:paraId="38BA61EA" w14:textId="228A3136"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DR </w:t>
            </w:r>
            <w:r w:rsidR="00401150">
              <w:rPr>
                <w:rFonts w:cs="Arial"/>
                <w:sz w:val="22"/>
                <w:szCs w:val="22"/>
              </w:rPr>
              <w:t>Preference</w:t>
            </w:r>
            <w:r>
              <w:rPr>
                <w:rFonts w:cs="Arial"/>
                <w:sz w:val="22"/>
                <w:szCs w:val="22"/>
              </w:rPr>
              <w:t xml:space="preserve"> Shares</w:t>
            </w:r>
          </w:p>
        </w:tc>
        <w:tc>
          <w:tcPr>
            <w:tcW w:w="1439" w:type="dxa"/>
          </w:tcPr>
          <w:p w14:paraId="614B30C3" w14:textId="4866C92A" w:rsidR="007D4D26" w:rsidRPr="00563B0C" w:rsidRDefault="00D25DF8"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4,336,655</w:t>
            </w:r>
          </w:p>
        </w:tc>
      </w:tr>
      <w:tr w:rsidR="007D4D26" w:rsidRPr="00563B0C" w14:paraId="201C42D8" w14:textId="77777777" w:rsidTr="008A2614">
        <w:tc>
          <w:tcPr>
            <w:tcW w:w="7621" w:type="dxa"/>
          </w:tcPr>
          <w:p w14:paraId="70E4443D" w14:textId="2A8EB936"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DS </w:t>
            </w:r>
            <w:r w:rsidR="00401150">
              <w:rPr>
                <w:rFonts w:cs="Arial"/>
                <w:sz w:val="22"/>
                <w:szCs w:val="22"/>
              </w:rPr>
              <w:t>Preference</w:t>
            </w:r>
            <w:r>
              <w:rPr>
                <w:rFonts w:cs="Arial"/>
                <w:sz w:val="22"/>
                <w:szCs w:val="22"/>
              </w:rPr>
              <w:t xml:space="preserve"> Shares</w:t>
            </w:r>
          </w:p>
        </w:tc>
        <w:tc>
          <w:tcPr>
            <w:tcW w:w="1439" w:type="dxa"/>
          </w:tcPr>
          <w:p w14:paraId="001AD2F9" w14:textId="2A401D10" w:rsidR="007D4D26" w:rsidRPr="00563B0C" w:rsidRDefault="00D25DF8"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44,816,134</w:t>
            </w:r>
          </w:p>
        </w:tc>
      </w:tr>
      <w:tr w:rsidR="007D4D26" w:rsidRPr="00563B0C" w14:paraId="1DA40281" w14:textId="77777777" w:rsidTr="008A2614">
        <w:tc>
          <w:tcPr>
            <w:tcW w:w="7621" w:type="dxa"/>
          </w:tcPr>
          <w:p w14:paraId="773D2EA2" w14:textId="4064293B"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DU </w:t>
            </w:r>
            <w:r w:rsidR="00401150">
              <w:rPr>
                <w:rFonts w:cs="Arial"/>
                <w:sz w:val="22"/>
                <w:szCs w:val="22"/>
              </w:rPr>
              <w:t>Preference</w:t>
            </w:r>
            <w:r>
              <w:rPr>
                <w:rFonts w:cs="Arial"/>
                <w:sz w:val="22"/>
                <w:szCs w:val="22"/>
              </w:rPr>
              <w:t xml:space="preserve"> Shares</w:t>
            </w:r>
          </w:p>
        </w:tc>
        <w:tc>
          <w:tcPr>
            <w:tcW w:w="1439" w:type="dxa"/>
          </w:tcPr>
          <w:p w14:paraId="01330719" w14:textId="78A7A941" w:rsidR="007D4D26" w:rsidRPr="00563B0C" w:rsidRDefault="00D25DF8"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2,943,540</w:t>
            </w:r>
          </w:p>
        </w:tc>
      </w:tr>
      <w:tr w:rsidR="007D4D26" w:rsidRPr="00563B0C" w14:paraId="14BBD0F7" w14:textId="77777777" w:rsidTr="008A2614">
        <w:tc>
          <w:tcPr>
            <w:tcW w:w="7621" w:type="dxa"/>
          </w:tcPr>
          <w:p w14:paraId="3800E016" w14:textId="5D8E8364"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DV </w:t>
            </w:r>
            <w:r w:rsidR="00401150">
              <w:rPr>
                <w:rFonts w:cs="Arial"/>
                <w:sz w:val="22"/>
                <w:szCs w:val="22"/>
              </w:rPr>
              <w:t>Preference</w:t>
            </w:r>
            <w:r>
              <w:rPr>
                <w:rFonts w:cs="Arial"/>
                <w:sz w:val="22"/>
                <w:szCs w:val="22"/>
              </w:rPr>
              <w:t xml:space="preserve"> Shares</w:t>
            </w:r>
          </w:p>
        </w:tc>
        <w:tc>
          <w:tcPr>
            <w:tcW w:w="1439" w:type="dxa"/>
          </w:tcPr>
          <w:p w14:paraId="14A18D70" w14:textId="53151687" w:rsidR="007D4D26" w:rsidRPr="00563B0C" w:rsidRDefault="00D25DF8"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7,477,724</w:t>
            </w:r>
          </w:p>
        </w:tc>
      </w:tr>
      <w:tr w:rsidR="007D4D26" w:rsidRPr="00563B0C" w14:paraId="7496D0A5" w14:textId="77777777" w:rsidTr="008A2614">
        <w:tc>
          <w:tcPr>
            <w:tcW w:w="7621" w:type="dxa"/>
          </w:tcPr>
          <w:p w14:paraId="044C4DF4" w14:textId="3F536DB1"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DX </w:t>
            </w:r>
            <w:r w:rsidR="00401150">
              <w:rPr>
                <w:rFonts w:cs="Arial"/>
                <w:sz w:val="22"/>
                <w:szCs w:val="22"/>
              </w:rPr>
              <w:t>Preference</w:t>
            </w:r>
            <w:r>
              <w:rPr>
                <w:rFonts w:cs="Arial"/>
                <w:sz w:val="22"/>
                <w:szCs w:val="22"/>
              </w:rPr>
              <w:t xml:space="preserve"> Shares</w:t>
            </w:r>
          </w:p>
        </w:tc>
        <w:tc>
          <w:tcPr>
            <w:tcW w:w="1439" w:type="dxa"/>
          </w:tcPr>
          <w:p w14:paraId="7E574248" w14:textId="6B0E12E1" w:rsidR="007D4D26" w:rsidRPr="00563B0C" w:rsidRDefault="00D25DF8"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7,366,567</w:t>
            </w:r>
          </w:p>
        </w:tc>
      </w:tr>
      <w:tr w:rsidR="007D4D26" w:rsidRPr="00563B0C" w14:paraId="19879C6A" w14:textId="77777777" w:rsidTr="008A2614">
        <w:tc>
          <w:tcPr>
            <w:tcW w:w="7621" w:type="dxa"/>
          </w:tcPr>
          <w:p w14:paraId="58CF39F5" w14:textId="7EA3FB62"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DZ </w:t>
            </w:r>
            <w:r w:rsidR="00401150">
              <w:rPr>
                <w:rFonts w:cs="Arial"/>
                <w:sz w:val="22"/>
                <w:szCs w:val="22"/>
              </w:rPr>
              <w:t>Preference</w:t>
            </w:r>
            <w:r>
              <w:rPr>
                <w:rFonts w:cs="Arial"/>
                <w:sz w:val="22"/>
                <w:szCs w:val="22"/>
              </w:rPr>
              <w:t xml:space="preserve"> Shares</w:t>
            </w:r>
          </w:p>
        </w:tc>
        <w:tc>
          <w:tcPr>
            <w:tcW w:w="1439" w:type="dxa"/>
          </w:tcPr>
          <w:p w14:paraId="20EF5B20" w14:textId="15F739C7" w:rsidR="007D4D26" w:rsidRPr="00563B0C" w:rsidRDefault="00D25DF8"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1,775,307</w:t>
            </w:r>
          </w:p>
        </w:tc>
      </w:tr>
      <w:tr w:rsidR="007D4D26" w:rsidRPr="00563B0C" w14:paraId="0A3528D8" w14:textId="77777777" w:rsidTr="008A2614">
        <w:tc>
          <w:tcPr>
            <w:tcW w:w="7621" w:type="dxa"/>
          </w:tcPr>
          <w:p w14:paraId="0288546C" w14:textId="73EFE7DE" w:rsidR="007D4D26" w:rsidRPr="00563B0C"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EA </w:t>
            </w:r>
            <w:r w:rsidR="00401150">
              <w:rPr>
                <w:rFonts w:cs="Arial"/>
                <w:sz w:val="22"/>
                <w:szCs w:val="22"/>
              </w:rPr>
              <w:t>Preference</w:t>
            </w:r>
            <w:r>
              <w:rPr>
                <w:rFonts w:cs="Arial"/>
                <w:sz w:val="22"/>
                <w:szCs w:val="22"/>
              </w:rPr>
              <w:t xml:space="preserve"> Shares</w:t>
            </w:r>
          </w:p>
        </w:tc>
        <w:tc>
          <w:tcPr>
            <w:tcW w:w="1439" w:type="dxa"/>
          </w:tcPr>
          <w:p w14:paraId="431B5268" w14:textId="48703A78" w:rsidR="007D4D26" w:rsidRPr="00563B0C" w:rsidRDefault="00D25DF8"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9,873,258</w:t>
            </w:r>
          </w:p>
        </w:tc>
      </w:tr>
      <w:tr w:rsidR="007D4D26" w:rsidRPr="00563B0C" w14:paraId="6BF362B8" w14:textId="77777777" w:rsidTr="008A2614">
        <w:tc>
          <w:tcPr>
            <w:tcW w:w="7621" w:type="dxa"/>
          </w:tcPr>
          <w:p w14:paraId="346C8E68" w14:textId="559F26DC"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EB </w:t>
            </w:r>
            <w:r w:rsidR="00401150">
              <w:rPr>
                <w:rFonts w:cs="Arial"/>
                <w:sz w:val="22"/>
                <w:szCs w:val="22"/>
              </w:rPr>
              <w:t>Preference</w:t>
            </w:r>
            <w:r>
              <w:rPr>
                <w:rFonts w:cs="Arial"/>
                <w:sz w:val="22"/>
                <w:szCs w:val="22"/>
              </w:rPr>
              <w:t xml:space="preserve"> Shares</w:t>
            </w:r>
          </w:p>
        </w:tc>
        <w:tc>
          <w:tcPr>
            <w:tcW w:w="1439" w:type="dxa"/>
          </w:tcPr>
          <w:p w14:paraId="439FFE81" w14:textId="147FE9C2" w:rsidR="007D4D26" w:rsidRPr="00563B0C" w:rsidRDefault="00D25DF8"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1,541,880</w:t>
            </w:r>
          </w:p>
        </w:tc>
      </w:tr>
      <w:tr w:rsidR="007D4D26" w:rsidRPr="00563B0C" w14:paraId="2DF1B245" w14:textId="77777777" w:rsidTr="008A2614">
        <w:tc>
          <w:tcPr>
            <w:tcW w:w="7621" w:type="dxa"/>
          </w:tcPr>
          <w:p w14:paraId="731F0E19" w14:textId="55A29F76"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ED </w:t>
            </w:r>
            <w:r w:rsidR="00401150">
              <w:rPr>
                <w:rFonts w:cs="Arial"/>
                <w:sz w:val="22"/>
                <w:szCs w:val="22"/>
              </w:rPr>
              <w:t>Preference</w:t>
            </w:r>
            <w:r>
              <w:rPr>
                <w:rFonts w:cs="Arial"/>
                <w:sz w:val="22"/>
                <w:szCs w:val="22"/>
              </w:rPr>
              <w:t xml:space="preserve"> Shares</w:t>
            </w:r>
          </w:p>
        </w:tc>
        <w:tc>
          <w:tcPr>
            <w:tcW w:w="1439" w:type="dxa"/>
          </w:tcPr>
          <w:p w14:paraId="096CCC99" w14:textId="0A377AFE" w:rsidR="007D4D26" w:rsidRPr="00563B0C" w:rsidRDefault="00D25DF8"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125,845</w:t>
            </w:r>
          </w:p>
        </w:tc>
      </w:tr>
      <w:tr w:rsidR="007D4D26" w:rsidRPr="00563B0C" w14:paraId="440987B2" w14:textId="77777777" w:rsidTr="008A2614">
        <w:tc>
          <w:tcPr>
            <w:tcW w:w="7621" w:type="dxa"/>
          </w:tcPr>
          <w:p w14:paraId="2C50CCBF" w14:textId="5ACC4E07"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EF </w:t>
            </w:r>
            <w:r w:rsidR="00401150">
              <w:rPr>
                <w:rFonts w:cs="Arial"/>
                <w:sz w:val="22"/>
                <w:szCs w:val="22"/>
              </w:rPr>
              <w:t>Preference</w:t>
            </w:r>
            <w:r>
              <w:rPr>
                <w:rFonts w:cs="Arial"/>
                <w:sz w:val="22"/>
                <w:szCs w:val="22"/>
              </w:rPr>
              <w:t xml:space="preserve"> Shares</w:t>
            </w:r>
          </w:p>
        </w:tc>
        <w:tc>
          <w:tcPr>
            <w:tcW w:w="1439" w:type="dxa"/>
          </w:tcPr>
          <w:p w14:paraId="32CB8066" w14:textId="0D7608A4" w:rsidR="007D4D26" w:rsidRPr="00563B0C" w:rsidRDefault="00D25DF8"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539,505</w:t>
            </w:r>
          </w:p>
        </w:tc>
      </w:tr>
      <w:tr w:rsidR="007D4D26" w:rsidRPr="00563B0C" w14:paraId="284BA3A8" w14:textId="77777777" w:rsidTr="008A2614">
        <w:tc>
          <w:tcPr>
            <w:tcW w:w="7621" w:type="dxa"/>
          </w:tcPr>
          <w:p w14:paraId="48288370" w14:textId="6ADA4C6A"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EQ </w:t>
            </w:r>
            <w:r w:rsidR="00401150">
              <w:rPr>
                <w:rFonts w:cs="Arial"/>
                <w:sz w:val="22"/>
                <w:szCs w:val="22"/>
              </w:rPr>
              <w:t>Preference</w:t>
            </w:r>
            <w:r>
              <w:rPr>
                <w:rFonts w:cs="Arial"/>
                <w:sz w:val="22"/>
                <w:szCs w:val="22"/>
              </w:rPr>
              <w:t xml:space="preserve"> Shares</w:t>
            </w:r>
          </w:p>
        </w:tc>
        <w:tc>
          <w:tcPr>
            <w:tcW w:w="1439" w:type="dxa"/>
          </w:tcPr>
          <w:p w14:paraId="55473867" w14:textId="04362F0F" w:rsidR="007D4D26" w:rsidRDefault="00D25DF8"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2,941,917</w:t>
            </w:r>
          </w:p>
        </w:tc>
      </w:tr>
      <w:tr w:rsidR="007D4D26" w:rsidRPr="00563B0C" w14:paraId="0DB77E02" w14:textId="77777777" w:rsidTr="008A2614">
        <w:tc>
          <w:tcPr>
            <w:tcW w:w="7621" w:type="dxa"/>
          </w:tcPr>
          <w:p w14:paraId="2092F874" w14:textId="53B27199"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ES </w:t>
            </w:r>
            <w:r w:rsidR="00401150">
              <w:rPr>
                <w:rFonts w:cs="Arial"/>
                <w:sz w:val="22"/>
                <w:szCs w:val="22"/>
              </w:rPr>
              <w:t>Preference</w:t>
            </w:r>
            <w:r>
              <w:rPr>
                <w:rFonts w:cs="Arial"/>
                <w:sz w:val="22"/>
                <w:szCs w:val="22"/>
              </w:rPr>
              <w:t xml:space="preserve"> Shares</w:t>
            </w:r>
          </w:p>
        </w:tc>
        <w:tc>
          <w:tcPr>
            <w:tcW w:w="1439" w:type="dxa"/>
          </w:tcPr>
          <w:p w14:paraId="41524F42" w14:textId="2DB7FDC2" w:rsidR="007D4D26" w:rsidRDefault="00D25DF8"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5,193,364</w:t>
            </w:r>
          </w:p>
        </w:tc>
      </w:tr>
      <w:tr w:rsidR="007D4D26" w:rsidRPr="00563B0C" w14:paraId="4C64E21A" w14:textId="77777777" w:rsidTr="008A2614">
        <w:tc>
          <w:tcPr>
            <w:tcW w:w="7621" w:type="dxa"/>
          </w:tcPr>
          <w:p w14:paraId="779FDB5E" w14:textId="7FBCD46B"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ET </w:t>
            </w:r>
            <w:r w:rsidR="00401150">
              <w:rPr>
                <w:rFonts w:cs="Arial"/>
                <w:sz w:val="22"/>
                <w:szCs w:val="22"/>
              </w:rPr>
              <w:t>Preference</w:t>
            </w:r>
            <w:r>
              <w:rPr>
                <w:rFonts w:cs="Arial"/>
                <w:sz w:val="22"/>
                <w:szCs w:val="22"/>
              </w:rPr>
              <w:t xml:space="preserve"> Shares</w:t>
            </w:r>
          </w:p>
        </w:tc>
        <w:tc>
          <w:tcPr>
            <w:tcW w:w="1439" w:type="dxa"/>
          </w:tcPr>
          <w:p w14:paraId="4AAF9145" w14:textId="068ED4DF" w:rsidR="007D4D26" w:rsidRDefault="00D25DF8"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2,210,704</w:t>
            </w:r>
          </w:p>
        </w:tc>
      </w:tr>
      <w:tr w:rsidR="007D4D26" w:rsidRPr="00563B0C" w14:paraId="3BC275EF" w14:textId="77777777" w:rsidTr="008A2614">
        <w:tc>
          <w:tcPr>
            <w:tcW w:w="7621" w:type="dxa"/>
          </w:tcPr>
          <w:p w14:paraId="206C5C7D" w14:textId="0A2E04E9"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FL </w:t>
            </w:r>
            <w:r w:rsidR="00401150">
              <w:rPr>
                <w:rFonts w:cs="Arial"/>
                <w:sz w:val="22"/>
                <w:szCs w:val="22"/>
              </w:rPr>
              <w:t>Preference</w:t>
            </w:r>
            <w:r>
              <w:rPr>
                <w:rFonts w:cs="Arial"/>
                <w:sz w:val="22"/>
                <w:szCs w:val="22"/>
              </w:rPr>
              <w:t xml:space="preserve"> Shares</w:t>
            </w:r>
          </w:p>
        </w:tc>
        <w:tc>
          <w:tcPr>
            <w:tcW w:w="1439" w:type="dxa"/>
          </w:tcPr>
          <w:p w14:paraId="7824EDC4" w14:textId="308916E0" w:rsidR="007D4D26" w:rsidRDefault="00D25DF8"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1,376,670</w:t>
            </w:r>
          </w:p>
        </w:tc>
      </w:tr>
      <w:tr w:rsidR="007D4D26" w:rsidRPr="00563B0C" w14:paraId="7797BC0E" w14:textId="77777777" w:rsidTr="008A2614">
        <w:tc>
          <w:tcPr>
            <w:tcW w:w="7621" w:type="dxa"/>
          </w:tcPr>
          <w:p w14:paraId="7C7952B8" w14:textId="227F11D3"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FM </w:t>
            </w:r>
            <w:r w:rsidR="00401150">
              <w:rPr>
                <w:rFonts w:cs="Arial"/>
                <w:sz w:val="22"/>
                <w:szCs w:val="22"/>
              </w:rPr>
              <w:t>Preference</w:t>
            </w:r>
            <w:r>
              <w:rPr>
                <w:rFonts w:cs="Arial"/>
                <w:sz w:val="22"/>
                <w:szCs w:val="22"/>
              </w:rPr>
              <w:t xml:space="preserve"> Shares</w:t>
            </w:r>
          </w:p>
        </w:tc>
        <w:tc>
          <w:tcPr>
            <w:tcW w:w="1439" w:type="dxa"/>
          </w:tcPr>
          <w:p w14:paraId="556750E8" w14:textId="163F5B21" w:rsidR="007D4D26" w:rsidRDefault="00D25DF8"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363,857</w:t>
            </w:r>
          </w:p>
        </w:tc>
      </w:tr>
      <w:tr w:rsidR="007D4D26" w:rsidRPr="00563B0C" w14:paraId="4B05884D" w14:textId="77777777" w:rsidTr="008A2614">
        <w:tc>
          <w:tcPr>
            <w:tcW w:w="7621" w:type="dxa"/>
          </w:tcPr>
          <w:p w14:paraId="092B1FED" w14:textId="7FDB8173"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FN </w:t>
            </w:r>
            <w:r w:rsidR="00401150">
              <w:rPr>
                <w:rFonts w:cs="Arial"/>
                <w:sz w:val="22"/>
                <w:szCs w:val="22"/>
              </w:rPr>
              <w:t>Preference</w:t>
            </w:r>
            <w:r>
              <w:rPr>
                <w:rFonts w:cs="Arial"/>
                <w:sz w:val="22"/>
                <w:szCs w:val="22"/>
              </w:rPr>
              <w:t xml:space="preserve"> Shares</w:t>
            </w:r>
          </w:p>
        </w:tc>
        <w:tc>
          <w:tcPr>
            <w:tcW w:w="1439" w:type="dxa"/>
          </w:tcPr>
          <w:p w14:paraId="567469A3" w14:textId="1797CCF8" w:rsidR="007D4D26" w:rsidRDefault="00D25DF8"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710,910</w:t>
            </w:r>
          </w:p>
        </w:tc>
      </w:tr>
      <w:tr w:rsidR="007D4D26" w:rsidRPr="00563B0C" w14:paraId="6AD7CDB1" w14:textId="77777777" w:rsidTr="008A2614">
        <w:tc>
          <w:tcPr>
            <w:tcW w:w="7621" w:type="dxa"/>
          </w:tcPr>
          <w:p w14:paraId="1C9F6452" w14:textId="230202A7"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FO </w:t>
            </w:r>
            <w:r w:rsidR="00401150">
              <w:rPr>
                <w:rFonts w:cs="Arial"/>
                <w:sz w:val="22"/>
                <w:szCs w:val="22"/>
              </w:rPr>
              <w:t>Preference</w:t>
            </w:r>
            <w:r>
              <w:rPr>
                <w:rFonts w:cs="Arial"/>
                <w:sz w:val="22"/>
                <w:szCs w:val="22"/>
              </w:rPr>
              <w:t xml:space="preserve"> Shares</w:t>
            </w:r>
          </w:p>
        </w:tc>
        <w:tc>
          <w:tcPr>
            <w:tcW w:w="1439" w:type="dxa"/>
          </w:tcPr>
          <w:p w14:paraId="29D8523E" w14:textId="359F009D" w:rsidR="007D4D26" w:rsidRDefault="00D25DF8"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14,124,277</w:t>
            </w:r>
          </w:p>
        </w:tc>
      </w:tr>
      <w:tr w:rsidR="007D4D26" w:rsidRPr="00563B0C" w14:paraId="213DE410" w14:textId="77777777" w:rsidTr="008A2614">
        <w:tc>
          <w:tcPr>
            <w:tcW w:w="7621" w:type="dxa"/>
          </w:tcPr>
          <w:p w14:paraId="5351B2D3" w14:textId="1F2C8D79"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FP </w:t>
            </w:r>
            <w:r w:rsidR="00401150">
              <w:rPr>
                <w:rFonts w:cs="Arial"/>
                <w:sz w:val="22"/>
                <w:szCs w:val="22"/>
              </w:rPr>
              <w:t>Preference</w:t>
            </w:r>
            <w:r>
              <w:rPr>
                <w:rFonts w:cs="Arial"/>
                <w:sz w:val="22"/>
                <w:szCs w:val="22"/>
              </w:rPr>
              <w:t xml:space="preserve"> Shares</w:t>
            </w:r>
          </w:p>
        </w:tc>
        <w:tc>
          <w:tcPr>
            <w:tcW w:w="1439" w:type="dxa"/>
          </w:tcPr>
          <w:p w14:paraId="00463A79" w14:textId="2FE75B8E" w:rsidR="007D4D26" w:rsidRDefault="00D25DF8"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132,965</w:t>
            </w:r>
          </w:p>
        </w:tc>
      </w:tr>
      <w:tr w:rsidR="007D4D26" w:rsidRPr="00563B0C" w14:paraId="55551EE8" w14:textId="77777777" w:rsidTr="008A2614">
        <w:tc>
          <w:tcPr>
            <w:tcW w:w="7621" w:type="dxa"/>
          </w:tcPr>
          <w:p w14:paraId="3B6C46D0" w14:textId="0B3C1568"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KK </w:t>
            </w:r>
            <w:r w:rsidR="00401150">
              <w:rPr>
                <w:rFonts w:cs="Arial"/>
                <w:sz w:val="22"/>
                <w:szCs w:val="22"/>
              </w:rPr>
              <w:t>Preference</w:t>
            </w:r>
            <w:r>
              <w:rPr>
                <w:rFonts w:cs="Arial"/>
                <w:sz w:val="22"/>
                <w:szCs w:val="22"/>
              </w:rPr>
              <w:t xml:space="preserve"> Shares</w:t>
            </w:r>
          </w:p>
        </w:tc>
        <w:tc>
          <w:tcPr>
            <w:tcW w:w="1439" w:type="dxa"/>
          </w:tcPr>
          <w:p w14:paraId="43E578B9" w14:textId="59B02C3A" w:rsidR="007D4D26" w:rsidRDefault="00D25DF8"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1,026,955</w:t>
            </w:r>
          </w:p>
        </w:tc>
      </w:tr>
      <w:tr w:rsidR="007D4D26" w:rsidRPr="00563B0C" w14:paraId="66434858" w14:textId="77777777" w:rsidTr="008A2614">
        <w:tc>
          <w:tcPr>
            <w:tcW w:w="7621" w:type="dxa"/>
          </w:tcPr>
          <w:p w14:paraId="7F11B1FC" w14:textId="1B0DDDF9" w:rsidR="007D4D26" w:rsidRDefault="007D4D26" w:rsidP="002F43BE">
            <w:pPr>
              <w:pStyle w:val="BodyText2"/>
              <w:tabs>
                <w:tab w:val="clear" w:pos="1260"/>
                <w:tab w:val="clear" w:pos="8100"/>
                <w:tab w:val="clear" w:pos="9360"/>
              </w:tabs>
              <w:suppressAutoHyphens w:val="0"/>
              <w:rPr>
                <w:rFonts w:cs="Arial"/>
                <w:sz w:val="22"/>
                <w:szCs w:val="22"/>
              </w:rPr>
            </w:pPr>
            <w:r>
              <w:rPr>
                <w:rFonts w:cs="Arial"/>
                <w:sz w:val="22"/>
                <w:szCs w:val="22"/>
              </w:rPr>
              <w:t xml:space="preserve">Class W </w:t>
            </w:r>
            <w:r w:rsidR="00401150">
              <w:rPr>
                <w:rFonts w:cs="Arial"/>
                <w:sz w:val="22"/>
                <w:szCs w:val="22"/>
              </w:rPr>
              <w:t>Preference</w:t>
            </w:r>
            <w:r>
              <w:rPr>
                <w:rFonts w:cs="Arial"/>
                <w:sz w:val="22"/>
                <w:szCs w:val="22"/>
              </w:rPr>
              <w:t xml:space="preserve"> Shares</w:t>
            </w:r>
          </w:p>
        </w:tc>
        <w:tc>
          <w:tcPr>
            <w:tcW w:w="1439" w:type="dxa"/>
          </w:tcPr>
          <w:p w14:paraId="64E5FDB7" w14:textId="569D9E83" w:rsidR="007D4D26" w:rsidRDefault="00D25DF8" w:rsidP="002F43BE">
            <w:pPr>
              <w:pStyle w:val="BodyText2"/>
              <w:tabs>
                <w:tab w:val="clear" w:pos="1260"/>
                <w:tab w:val="clear" w:pos="8100"/>
                <w:tab w:val="clear" w:pos="9360"/>
              </w:tabs>
              <w:suppressAutoHyphens w:val="0"/>
              <w:jc w:val="right"/>
              <w:rPr>
                <w:rFonts w:cs="Arial"/>
                <w:sz w:val="22"/>
                <w:szCs w:val="22"/>
              </w:rPr>
            </w:pPr>
            <w:r>
              <w:rPr>
                <w:rFonts w:cs="Arial"/>
                <w:sz w:val="22"/>
                <w:szCs w:val="22"/>
              </w:rPr>
              <w:t>1,193</w:t>
            </w:r>
          </w:p>
        </w:tc>
      </w:tr>
      <w:tr w:rsidR="007D4D26" w:rsidRPr="00563B0C" w14:paraId="03299879" w14:textId="77777777" w:rsidTr="008A2614">
        <w:tc>
          <w:tcPr>
            <w:tcW w:w="7621" w:type="dxa"/>
          </w:tcPr>
          <w:p w14:paraId="3CA78BCF" w14:textId="77777777" w:rsidR="007D4D26" w:rsidRPr="00473624" w:rsidRDefault="007D4D26" w:rsidP="002F43BE">
            <w:pPr>
              <w:pStyle w:val="BodyText2"/>
              <w:tabs>
                <w:tab w:val="clear" w:pos="1260"/>
                <w:tab w:val="clear" w:pos="8100"/>
                <w:tab w:val="clear" w:pos="9360"/>
              </w:tabs>
              <w:suppressAutoHyphens w:val="0"/>
              <w:rPr>
                <w:rFonts w:cs="Arial"/>
                <w:b/>
                <w:sz w:val="22"/>
                <w:szCs w:val="22"/>
              </w:rPr>
            </w:pPr>
            <w:r w:rsidRPr="00473624">
              <w:rPr>
                <w:rFonts w:cs="Arial"/>
                <w:b/>
                <w:sz w:val="22"/>
                <w:szCs w:val="22"/>
              </w:rPr>
              <w:t>Total Investments in CATCo-Re Ltd.</w:t>
            </w:r>
          </w:p>
        </w:tc>
        <w:tc>
          <w:tcPr>
            <w:tcW w:w="1439" w:type="dxa"/>
          </w:tcPr>
          <w:p w14:paraId="02AB5D5E" w14:textId="513B3887" w:rsidR="007D4D26" w:rsidRPr="00473624" w:rsidRDefault="00401150" w:rsidP="002F43BE">
            <w:pPr>
              <w:pStyle w:val="BodyText2"/>
              <w:tabs>
                <w:tab w:val="clear" w:pos="1260"/>
                <w:tab w:val="clear" w:pos="8100"/>
                <w:tab w:val="clear" w:pos="9360"/>
              </w:tabs>
              <w:suppressAutoHyphens w:val="0"/>
              <w:jc w:val="right"/>
              <w:rPr>
                <w:rFonts w:cs="Arial"/>
                <w:b/>
                <w:sz w:val="22"/>
                <w:szCs w:val="22"/>
              </w:rPr>
            </w:pPr>
            <w:r>
              <w:rPr>
                <w:rFonts w:cs="Arial"/>
                <w:b/>
                <w:sz w:val="22"/>
                <w:szCs w:val="22"/>
              </w:rPr>
              <w:t>$</w:t>
            </w:r>
            <w:r w:rsidR="007D4D26">
              <w:rPr>
                <w:rFonts w:cs="Arial"/>
                <w:b/>
                <w:sz w:val="22"/>
                <w:szCs w:val="22"/>
              </w:rPr>
              <w:t>301,652,663</w:t>
            </w:r>
          </w:p>
        </w:tc>
      </w:tr>
      <w:tr w:rsidR="007D4D26" w:rsidRPr="00563B0C" w14:paraId="3F1CD2FB" w14:textId="77777777" w:rsidTr="008A2614">
        <w:tc>
          <w:tcPr>
            <w:tcW w:w="7621" w:type="dxa"/>
          </w:tcPr>
          <w:p w14:paraId="7111AA4A" w14:textId="77777777" w:rsidR="007D4D26" w:rsidRDefault="007D4D26" w:rsidP="002F43BE">
            <w:pPr>
              <w:pStyle w:val="BodyText2"/>
              <w:tabs>
                <w:tab w:val="clear" w:pos="1260"/>
                <w:tab w:val="clear" w:pos="8100"/>
                <w:tab w:val="clear" w:pos="9360"/>
              </w:tabs>
              <w:suppressAutoHyphens w:val="0"/>
              <w:rPr>
                <w:rFonts w:cs="Arial"/>
                <w:sz w:val="22"/>
                <w:szCs w:val="22"/>
              </w:rPr>
            </w:pPr>
          </w:p>
          <w:p w14:paraId="6DCB0BB6" w14:textId="77777777" w:rsidR="007D4D26" w:rsidRPr="00563B0C" w:rsidRDefault="007D4D26" w:rsidP="002F43BE">
            <w:pPr>
              <w:pStyle w:val="BodyText2"/>
              <w:tabs>
                <w:tab w:val="clear" w:pos="1260"/>
                <w:tab w:val="clear" w:pos="8100"/>
                <w:tab w:val="clear" w:pos="9360"/>
              </w:tabs>
              <w:suppressAutoHyphens w:val="0"/>
              <w:rPr>
                <w:rFonts w:cs="Arial"/>
                <w:sz w:val="22"/>
                <w:szCs w:val="22"/>
              </w:rPr>
            </w:pPr>
          </w:p>
        </w:tc>
        <w:tc>
          <w:tcPr>
            <w:tcW w:w="1439" w:type="dxa"/>
          </w:tcPr>
          <w:p w14:paraId="218D26F9" w14:textId="77777777" w:rsidR="007D4D26" w:rsidRPr="00563B0C" w:rsidRDefault="007D4D26" w:rsidP="002F43BE">
            <w:pPr>
              <w:pStyle w:val="BodyText2"/>
              <w:tabs>
                <w:tab w:val="clear" w:pos="1260"/>
                <w:tab w:val="clear" w:pos="8100"/>
                <w:tab w:val="clear" w:pos="9360"/>
              </w:tabs>
              <w:suppressAutoHyphens w:val="0"/>
              <w:rPr>
                <w:rFonts w:cs="Arial"/>
                <w:sz w:val="22"/>
                <w:szCs w:val="22"/>
              </w:rPr>
            </w:pPr>
          </w:p>
        </w:tc>
      </w:tr>
      <w:tr w:rsidR="007D4D26" w14:paraId="0ED3FD59" w14:textId="77777777" w:rsidTr="008A2614">
        <w:tc>
          <w:tcPr>
            <w:tcW w:w="7621" w:type="dxa"/>
          </w:tcPr>
          <w:p w14:paraId="6FA020AD" w14:textId="77777777" w:rsidR="007D4D26" w:rsidRDefault="007D4D26" w:rsidP="002F43BE">
            <w:pPr>
              <w:pStyle w:val="BodyText2"/>
              <w:tabs>
                <w:tab w:val="clear" w:pos="1260"/>
                <w:tab w:val="clear" w:pos="8100"/>
                <w:tab w:val="clear" w:pos="9360"/>
              </w:tabs>
              <w:suppressAutoHyphens w:val="0"/>
              <w:rPr>
                <w:rFonts w:cs="Arial"/>
                <w:i/>
                <w:sz w:val="22"/>
                <w:szCs w:val="22"/>
              </w:rPr>
            </w:pPr>
            <w:r w:rsidRPr="008A2614">
              <w:rPr>
                <w:rFonts w:cs="Arial"/>
                <w:i/>
                <w:sz w:val="22"/>
                <w:szCs w:val="22"/>
              </w:rPr>
              <w:t xml:space="preserve">Investments in </w:t>
            </w:r>
            <w:proofErr w:type="spellStart"/>
            <w:r w:rsidRPr="008A2614">
              <w:rPr>
                <w:rFonts w:cs="Arial"/>
                <w:i/>
                <w:sz w:val="22"/>
                <w:szCs w:val="22"/>
              </w:rPr>
              <w:t>Aquilo</w:t>
            </w:r>
            <w:proofErr w:type="spellEnd"/>
            <w:r w:rsidRPr="008A2614">
              <w:rPr>
                <w:rFonts w:cs="Arial"/>
                <w:i/>
                <w:sz w:val="22"/>
                <w:szCs w:val="22"/>
              </w:rPr>
              <w:t xml:space="preserve"> Re</w:t>
            </w:r>
          </w:p>
          <w:p w14:paraId="3A532BC6" w14:textId="3A59FF10" w:rsidR="007D4D26" w:rsidRPr="008A2614" w:rsidRDefault="007D4D26" w:rsidP="002F43BE">
            <w:pPr>
              <w:pStyle w:val="BodyText2"/>
              <w:tabs>
                <w:tab w:val="clear" w:pos="1260"/>
                <w:tab w:val="clear" w:pos="8100"/>
                <w:tab w:val="clear" w:pos="9360"/>
              </w:tabs>
              <w:suppressAutoHyphens w:val="0"/>
              <w:rPr>
                <w:rFonts w:cs="Arial"/>
                <w:i/>
                <w:sz w:val="22"/>
                <w:szCs w:val="22"/>
              </w:rPr>
            </w:pPr>
          </w:p>
        </w:tc>
        <w:tc>
          <w:tcPr>
            <w:tcW w:w="1439" w:type="dxa"/>
          </w:tcPr>
          <w:p w14:paraId="23C31A48" w14:textId="299ACEDF" w:rsidR="007D4D26" w:rsidRPr="008A2614" w:rsidRDefault="007D4D26" w:rsidP="002F43BE">
            <w:pPr>
              <w:pStyle w:val="BodyText2"/>
              <w:tabs>
                <w:tab w:val="clear" w:pos="1260"/>
                <w:tab w:val="clear" w:pos="8100"/>
                <w:tab w:val="clear" w:pos="9360"/>
              </w:tabs>
              <w:suppressAutoHyphens w:val="0"/>
              <w:rPr>
                <w:rFonts w:cs="Arial"/>
                <w:i/>
                <w:sz w:val="22"/>
                <w:szCs w:val="22"/>
              </w:rPr>
            </w:pPr>
            <w:r w:rsidRPr="008A2614">
              <w:rPr>
                <w:rFonts w:cs="Arial"/>
                <w:i/>
                <w:sz w:val="22"/>
                <w:szCs w:val="22"/>
              </w:rPr>
              <w:t>$ Fair Value</w:t>
            </w:r>
          </w:p>
        </w:tc>
      </w:tr>
      <w:tr w:rsidR="007D4D26" w14:paraId="7FC70411" w14:textId="77777777" w:rsidTr="008A2614">
        <w:tc>
          <w:tcPr>
            <w:tcW w:w="7621" w:type="dxa"/>
          </w:tcPr>
          <w:p w14:paraId="21741E50" w14:textId="6DDD2F5C" w:rsidR="007D4D26" w:rsidRPr="00563B0C" w:rsidRDefault="007D4D26" w:rsidP="002F43BE">
            <w:pPr>
              <w:pStyle w:val="BodyText2"/>
              <w:tabs>
                <w:tab w:val="clear" w:pos="1260"/>
                <w:tab w:val="clear" w:pos="8100"/>
                <w:tab w:val="clear" w:pos="9360"/>
              </w:tabs>
              <w:suppressAutoHyphens w:val="0"/>
              <w:rPr>
                <w:rFonts w:cs="Arial"/>
                <w:sz w:val="22"/>
                <w:szCs w:val="22"/>
              </w:rPr>
            </w:pPr>
            <w:proofErr w:type="spellStart"/>
            <w:r>
              <w:rPr>
                <w:rFonts w:cs="Arial"/>
                <w:sz w:val="22"/>
                <w:szCs w:val="22"/>
              </w:rPr>
              <w:t>Aquilo</w:t>
            </w:r>
            <w:proofErr w:type="spellEnd"/>
            <w:r>
              <w:rPr>
                <w:rFonts w:cs="Arial"/>
                <w:sz w:val="22"/>
                <w:szCs w:val="22"/>
              </w:rPr>
              <w:t xml:space="preserve"> Re Series AQ001</w:t>
            </w:r>
          </w:p>
        </w:tc>
        <w:tc>
          <w:tcPr>
            <w:tcW w:w="1439" w:type="dxa"/>
          </w:tcPr>
          <w:p w14:paraId="7EBBA572" w14:textId="0D1597AC" w:rsidR="007D4D26" w:rsidRDefault="007D4D26" w:rsidP="008A2614">
            <w:pPr>
              <w:pStyle w:val="BodyText2"/>
              <w:tabs>
                <w:tab w:val="clear" w:pos="1260"/>
                <w:tab w:val="clear" w:pos="8100"/>
                <w:tab w:val="clear" w:pos="9360"/>
              </w:tabs>
              <w:suppressAutoHyphens w:val="0"/>
              <w:jc w:val="right"/>
              <w:rPr>
                <w:rFonts w:cs="Arial"/>
                <w:sz w:val="22"/>
                <w:szCs w:val="22"/>
              </w:rPr>
            </w:pPr>
            <w:r>
              <w:rPr>
                <w:rFonts w:cs="Arial"/>
                <w:sz w:val="22"/>
                <w:szCs w:val="22"/>
              </w:rPr>
              <w:t>221,134</w:t>
            </w:r>
          </w:p>
        </w:tc>
      </w:tr>
      <w:tr w:rsidR="007D4D26" w:rsidRPr="00563B0C" w14:paraId="2C9C6F8E" w14:textId="77777777" w:rsidTr="008A2614">
        <w:tc>
          <w:tcPr>
            <w:tcW w:w="7621" w:type="dxa"/>
          </w:tcPr>
          <w:p w14:paraId="10F3F18C" w14:textId="25B3F62D" w:rsidR="007D4D26" w:rsidRPr="00563B0C" w:rsidRDefault="007D4D26" w:rsidP="002F43BE">
            <w:pPr>
              <w:pStyle w:val="BodyText2"/>
              <w:tabs>
                <w:tab w:val="clear" w:pos="1260"/>
                <w:tab w:val="clear" w:pos="8100"/>
                <w:tab w:val="clear" w:pos="9360"/>
              </w:tabs>
              <w:suppressAutoHyphens w:val="0"/>
              <w:rPr>
                <w:rFonts w:cs="Arial"/>
                <w:sz w:val="22"/>
                <w:szCs w:val="22"/>
              </w:rPr>
            </w:pPr>
            <w:proofErr w:type="spellStart"/>
            <w:r>
              <w:rPr>
                <w:rFonts w:cs="Arial"/>
                <w:sz w:val="22"/>
                <w:szCs w:val="22"/>
              </w:rPr>
              <w:t>Aquilo</w:t>
            </w:r>
            <w:proofErr w:type="spellEnd"/>
            <w:r>
              <w:rPr>
                <w:rFonts w:cs="Arial"/>
                <w:sz w:val="22"/>
                <w:szCs w:val="22"/>
              </w:rPr>
              <w:t xml:space="preserve"> Re Series AQ002</w:t>
            </w:r>
            <w:r>
              <w:rPr>
                <w:rFonts w:cs="Arial"/>
                <w:sz w:val="22"/>
                <w:szCs w:val="22"/>
              </w:rPr>
              <w:tab/>
            </w:r>
          </w:p>
        </w:tc>
        <w:tc>
          <w:tcPr>
            <w:tcW w:w="1439" w:type="dxa"/>
          </w:tcPr>
          <w:p w14:paraId="79863497" w14:textId="212D539B" w:rsidR="007D4D26" w:rsidRPr="00563B0C" w:rsidRDefault="007D4D26" w:rsidP="008A2614">
            <w:pPr>
              <w:pStyle w:val="BodyText2"/>
              <w:tabs>
                <w:tab w:val="clear" w:pos="1260"/>
                <w:tab w:val="clear" w:pos="8100"/>
                <w:tab w:val="clear" w:pos="9360"/>
              </w:tabs>
              <w:suppressAutoHyphens w:val="0"/>
              <w:jc w:val="right"/>
              <w:rPr>
                <w:rFonts w:cs="Arial"/>
                <w:sz w:val="22"/>
                <w:szCs w:val="22"/>
              </w:rPr>
            </w:pPr>
            <w:r>
              <w:rPr>
                <w:rFonts w:cs="Arial"/>
                <w:sz w:val="22"/>
                <w:szCs w:val="22"/>
              </w:rPr>
              <w:t>2,984,020</w:t>
            </w:r>
          </w:p>
        </w:tc>
      </w:tr>
      <w:tr w:rsidR="007D4D26" w:rsidRPr="00563B0C" w14:paraId="3F75412A" w14:textId="77777777" w:rsidTr="008A2614">
        <w:tc>
          <w:tcPr>
            <w:tcW w:w="7621" w:type="dxa"/>
          </w:tcPr>
          <w:p w14:paraId="091E7985" w14:textId="3C178F81" w:rsidR="007D4D26" w:rsidRDefault="007D4D26" w:rsidP="008A2614">
            <w:pPr>
              <w:pStyle w:val="BodyText2"/>
              <w:tabs>
                <w:tab w:val="clear" w:pos="1260"/>
                <w:tab w:val="clear" w:pos="8100"/>
                <w:tab w:val="clear" w:pos="9360"/>
              </w:tabs>
              <w:suppressAutoHyphens w:val="0"/>
              <w:rPr>
                <w:rFonts w:cs="Arial"/>
                <w:sz w:val="22"/>
                <w:szCs w:val="22"/>
              </w:rPr>
            </w:pPr>
            <w:proofErr w:type="spellStart"/>
            <w:r>
              <w:rPr>
                <w:rFonts w:cs="Arial"/>
                <w:sz w:val="22"/>
                <w:szCs w:val="22"/>
              </w:rPr>
              <w:t>Aquilo</w:t>
            </w:r>
            <w:proofErr w:type="spellEnd"/>
            <w:r>
              <w:rPr>
                <w:rFonts w:cs="Arial"/>
                <w:sz w:val="22"/>
                <w:szCs w:val="22"/>
              </w:rPr>
              <w:t xml:space="preserve"> Re Series AQ003</w:t>
            </w:r>
          </w:p>
        </w:tc>
        <w:tc>
          <w:tcPr>
            <w:tcW w:w="1439" w:type="dxa"/>
          </w:tcPr>
          <w:p w14:paraId="7128A600" w14:textId="57A631D9" w:rsidR="007D4D26" w:rsidRDefault="007D4D26" w:rsidP="008A2614">
            <w:pPr>
              <w:pStyle w:val="BodyText2"/>
              <w:tabs>
                <w:tab w:val="clear" w:pos="1260"/>
                <w:tab w:val="clear" w:pos="8100"/>
                <w:tab w:val="clear" w:pos="9360"/>
              </w:tabs>
              <w:suppressAutoHyphens w:val="0"/>
              <w:jc w:val="right"/>
              <w:rPr>
                <w:rFonts w:cs="Arial"/>
                <w:sz w:val="22"/>
                <w:szCs w:val="22"/>
              </w:rPr>
            </w:pPr>
            <w:r>
              <w:rPr>
                <w:rFonts w:cs="Arial"/>
                <w:sz w:val="22"/>
                <w:szCs w:val="22"/>
              </w:rPr>
              <w:t>1,141,892</w:t>
            </w:r>
          </w:p>
        </w:tc>
      </w:tr>
      <w:tr w:rsidR="007D4D26" w:rsidRPr="00563B0C" w14:paraId="2C1C50AB" w14:textId="77777777" w:rsidTr="008A2614">
        <w:tc>
          <w:tcPr>
            <w:tcW w:w="7621" w:type="dxa"/>
          </w:tcPr>
          <w:p w14:paraId="21084F25" w14:textId="7FAAD479" w:rsidR="007D4D26" w:rsidRPr="00473624" w:rsidRDefault="007D4D26" w:rsidP="008A2614">
            <w:pPr>
              <w:pStyle w:val="BodyText2"/>
              <w:tabs>
                <w:tab w:val="clear" w:pos="1260"/>
                <w:tab w:val="clear" w:pos="8100"/>
                <w:tab w:val="clear" w:pos="9360"/>
              </w:tabs>
              <w:suppressAutoHyphens w:val="0"/>
              <w:rPr>
                <w:rFonts w:cs="Arial"/>
                <w:b/>
                <w:sz w:val="22"/>
                <w:szCs w:val="22"/>
              </w:rPr>
            </w:pPr>
            <w:proofErr w:type="spellStart"/>
            <w:r>
              <w:rPr>
                <w:rFonts w:cs="Arial"/>
                <w:sz w:val="22"/>
                <w:szCs w:val="22"/>
              </w:rPr>
              <w:t>Aquilo</w:t>
            </w:r>
            <w:proofErr w:type="spellEnd"/>
            <w:r>
              <w:rPr>
                <w:rFonts w:cs="Arial"/>
                <w:sz w:val="22"/>
                <w:szCs w:val="22"/>
              </w:rPr>
              <w:t xml:space="preserve"> Re Series AQ004</w:t>
            </w:r>
          </w:p>
        </w:tc>
        <w:tc>
          <w:tcPr>
            <w:tcW w:w="1439" w:type="dxa"/>
          </w:tcPr>
          <w:p w14:paraId="56D10792" w14:textId="1DD33078" w:rsidR="007D4D26" w:rsidRDefault="007D4D26" w:rsidP="008A2614">
            <w:pPr>
              <w:pStyle w:val="BodyText2"/>
              <w:tabs>
                <w:tab w:val="clear" w:pos="1260"/>
                <w:tab w:val="clear" w:pos="8100"/>
                <w:tab w:val="clear" w:pos="9360"/>
              </w:tabs>
              <w:suppressAutoHyphens w:val="0"/>
              <w:jc w:val="right"/>
              <w:rPr>
                <w:rFonts w:cs="Arial"/>
                <w:sz w:val="22"/>
                <w:szCs w:val="22"/>
              </w:rPr>
            </w:pPr>
            <w:r>
              <w:rPr>
                <w:rFonts w:cs="Arial"/>
                <w:sz w:val="22"/>
                <w:szCs w:val="22"/>
              </w:rPr>
              <w:t>329,592</w:t>
            </w:r>
          </w:p>
        </w:tc>
      </w:tr>
      <w:tr w:rsidR="007D4D26" w:rsidRPr="00563B0C" w14:paraId="504D84D5" w14:textId="77777777" w:rsidTr="008A2614">
        <w:tc>
          <w:tcPr>
            <w:tcW w:w="7621" w:type="dxa"/>
          </w:tcPr>
          <w:p w14:paraId="48B27E31" w14:textId="06F81842" w:rsidR="007D4D26" w:rsidRPr="00473624" w:rsidRDefault="007D4D26" w:rsidP="008A2614">
            <w:pPr>
              <w:pStyle w:val="BodyText2"/>
              <w:tabs>
                <w:tab w:val="clear" w:pos="1260"/>
                <w:tab w:val="clear" w:pos="8100"/>
                <w:tab w:val="clear" w:pos="9360"/>
              </w:tabs>
              <w:suppressAutoHyphens w:val="0"/>
              <w:rPr>
                <w:rFonts w:cs="Arial"/>
                <w:b/>
                <w:sz w:val="22"/>
                <w:szCs w:val="22"/>
              </w:rPr>
            </w:pPr>
            <w:r w:rsidRPr="00473624">
              <w:rPr>
                <w:rFonts w:cs="Arial"/>
                <w:b/>
                <w:sz w:val="22"/>
                <w:szCs w:val="22"/>
              </w:rPr>
              <w:t xml:space="preserve">Total Investments in </w:t>
            </w:r>
            <w:proofErr w:type="spellStart"/>
            <w:r>
              <w:rPr>
                <w:rFonts w:cs="Arial"/>
                <w:b/>
                <w:sz w:val="22"/>
                <w:szCs w:val="22"/>
              </w:rPr>
              <w:t>Aquilo</w:t>
            </w:r>
            <w:proofErr w:type="spellEnd"/>
            <w:r>
              <w:rPr>
                <w:rFonts w:cs="Arial"/>
                <w:b/>
                <w:sz w:val="22"/>
                <w:szCs w:val="22"/>
              </w:rPr>
              <w:t xml:space="preserve"> Re</w:t>
            </w:r>
          </w:p>
        </w:tc>
        <w:tc>
          <w:tcPr>
            <w:tcW w:w="1439" w:type="dxa"/>
          </w:tcPr>
          <w:p w14:paraId="02A00787" w14:textId="2718EABE" w:rsidR="007D4D26" w:rsidRDefault="00401150" w:rsidP="008A2614">
            <w:pPr>
              <w:pStyle w:val="BodyText2"/>
              <w:tabs>
                <w:tab w:val="clear" w:pos="1260"/>
                <w:tab w:val="clear" w:pos="8100"/>
                <w:tab w:val="clear" w:pos="9360"/>
              </w:tabs>
              <w:suppressAutoHyphens w:val="0"/>
              <w:jc w:val="right"/>
              <w:rPr>
                <w:rFonts w:cs="Arial"/>
                <w:sz w:val="22"/>
                <w:szCs w:val="22"/>
              </w:rPr>
            </w:pPr>
            <w:r>
              <w:rPr>
                <w:rFonts w:cs="Arial"/>
                <w:b/>
                <w:sz w:val="22"/>
                <w:szCs w:val="22"/>
              </w:rPr>
              <w:t>$</w:t>
            </w:r>
            <w:r w:rsidR="007D4D26" w:rsidRPr="008A2614">
              <w:rPr>
                <w:rFonts w:cs="Arial"/>
                <w:b/>
                <w:sz w:val="22"/>
                <w:szCs w:val="22"/>
              </w:rPr>
              <w:t>4,676,638</w:t>
            </w:r>
          </w:p>
        </w:tc>
      </w:tr>
    </w:tbl>
    <w:p w14:paraId="4CD3B047" w14:textId="77777777" w:rsidR="002F43BE" w:rsidRPr="002F43BE" w:rsidRDefault="002F43BE" w:rsidP="002F43BE">
      <w:pPr>
        <w:ind w:right="-108"/>
        <w:jc w:val="both"/>
        <w:rPr>
          <w:rFonts w:cs="Arial"/>
          <w:b/>
        </w:rPr>
      </w:pPr>
    </w:p>
    <w:p w14:paraId="3500EA1B" w14:textId="77777777" w:rsidR="00556FE6" w:rsidRPr="00563B0C" w:rsidRDefault="00556FE6" w:rsidP="00E343B0">
      <w:pPr>
        <w:pStyle w:val="BodyText2"/>
        <w:tabs>
          <w:tab w:val="clear" w:pos="1260"/>
          <w:tab w:val="clear" w:pos="8100"/>
          <w:tab w:val="clear" w:pos="9360"/>
        </w:tabs>
        <w:suppressAutoHyphens w:val="0"/>
        <w:rPr>
          <w:rFonts w:cs="Arial"/>
          <w:sz w:val="22"/>
          <w:szCs w:val="22"/>
        </w:rPr>
      </w:pPr>
    </w:p>
    <w:tbl>
      <w:tblPr>
        <w:tblW w:w="0" w:type="auto"/>
        <w:tblLook w:val="00A0" w:firstRow="1" w:lastRow="0" w:firstColumn="1" w:lastColumn="0" w:noHBand="0" w:noVBand="0"/>
      </w:tblPr>
      <w:tblGrid>
        <w:gridCol w:w="7621"/>
        <w:gridCol w:w="1538"/>
      </w:tblGrid>
      <w:tr w:rsidR="00D25DF8" w14:paraId="7C5B2632" w14:textId="77777777" w:rsidTr="00D25DF8">
        <w:tc>
          <w:tcPr>
            <w:tcW w:w="7621" w:type="dxa"/>
          </w:tcPr>
          <w:p w14:paraId="3347EC4C" w14:textId="093E1000" w:rsidR="00D25DF8" w:rsidRPr="00473624" w:rsidRDefault="00D25DF8" w:rsidP="00D25DF8">
            <w:pPr>
              <w:pStyle w:val="BodyText2"/>
              <w:tabs>
                <w:tab w:val="clear" w:pos="1260"/>
                <w:tab w:val="clear" w:pos="8100"/>
                <w:tab w:val="clear" w:pos="9360"/>
              </w:tabs>
              <w:suppressAutoHyphens w:val="0"/>
              <w:rPr>
                <w:rFonts w:cs="Arial"/>
                <w:b/>
                <w:sz w:val="22"/>
                <w:szCs w:val="22"/>
              </w:rPr>
            </w:pPr>
            <w:r w:rsidRPr="00473624">
              <w:rPr>
                <w:rFonts w:cs="Arial"/>
                <w:b/>
                <w:sz w:val="22"/>
                <w:szCs w:val="22"/>
              </w:rPr>
              <w:t xml:space="preserve">Total Investments in </w:t>
            </w:r>
            <w:r>
              <w:rPr>
                <w:rFonts w:cs="Arial"/>
                <w:b/>
                <w:sz w:val="22"/>
                <w:szCs w:val="22"/>
              </w:rPr>
              <w:t>Preference Shares</w:t>
            </w:r>
          </w:p>
        </w:tc>
        <w:tc>
          <w:tcPr>
            <w:tcW w:w="1439" w:type="dxa"/>
          </w:tcPr>
          <w:p w14:paraId="6940F746" w14:textId="01F23373" w:rsidR="00D25DF8" w:rsidRDefault="00401150" w:rsidP="00D25DF8">
            <w:pPr>
              <w:pStyle w:val="BodyText2"/>
              <w:tabs>
                <w:tab w:val="clear" w:pos="1260"/>
                <w:tab w:val="clear" w:pos="8100"/>
                <w:tab w:val="clear" w:pos="9360"/>
              </w:tabs>
              <w:suppressAutoHyphens w:val="0"/>
              <w:jc w:val="right"/>
              <w:rPr>
                <w:rFonts w:cs="Arial"/>
                <w:sz w:val="22"/>
                <w:szCs w:val="22"/>
              </w:rPr>
            </w:pPr>
            <w:r>
              <w:rPr>
                <w:rFonts w:cs="Arial"/>
                <w:b/>
                <w:sz w:val="22"/>
                <w:szCs w:val="22"/>
              </w:rPr>
              <w:t>$</w:t>
            </w:r>
            <w:r w:rsidR="00D25DF8">
              <w:rPr>
                <w:rFonts w:cs="Arial"/>
                <w:b/>
                <w:sz w:val="22"/>
                <w:szCs w:val="22"/>
              </w:rPr>
              <w:t>306,329,301</w:t>
            </w:r>
          </w:p>
        </w:tc>
      </w:tr>
    </w:tbl>
    <w:p w14:paraId="77D6E193" w14:textId="77777777" w:rsidR="00D25DF8" w:rsidRDefault="00D25DF8"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p>
    <w:p w14:paraId="0998CA61" w14:textId="77777777" w:rsidR="00D25DF8" w:rsidRDefault="00D25DF8"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p>
    <w:p w14:paraId="7F21E3BF" w14:textId="4DF5FDAD" w:rsidR="00556FE6" w:rsidRPr="00563B0C" w:rsidRDefault="001A5FB0" w:rsidP="00591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r w:rsidRPr="001A5FB0">
        <w:rPr>
          <w:rFonts w:cs="Arial"/>
          <w:szCs w:val="22"/>
        </w:rPr>
        <w:t>The following table reflects the Company’s proportionate share of the fair value of investments in the Reinsurer held by the</w:t>
      </w:r>
      <w:r w:rsidR="002F43BE">
        <w:rPr>
          <w:rFonts w:cs="Arial"/>
          <w:szCs w:val="22"/>
        </w:rPr>
        <w:t xml:space="preserve"> Master Fund at 31 December 2014</w:t>
      </w:r>
      <w:r w:rsidRPr="001A5FB0">
        <w:rPr>
          <w:rFonts w:cs="Arial"/>
          <w:szCs w:val="22"/>
        </w:rPr>
        <w:t>.</w:t>
      </w:r>
    </w:p>
    <w:tbl>
      <w:tblPr>
        <w:tblW w:w="0" w:type="auto"/>
        <w:tblLook w:val="00A0" w:firstRow="1" w:lastRow="0" w:firstColumn="1" w:lastColumn="0" w:noHBand="0" w:noVBand="0"/>
      </w:tblPr>
      <w:tblGrid>
        <w:gridCol w:w="5162"/>
        <w:gridCol w:w="3877"/>
      </w:tblGrid>
      <w:tr w:rsidR="00556FE6" w:rsidRPr="00563B0C" w14:paraId="50A22E29" w14:textId="77777777" w:rsidTr="00D25DF8">
        <w:tc>
          <w:tcPr>
            <w:tcW w:w="5162" w:type="dxa"/>
          </w:tcPr>
          <w:p w14:paraId="6AD74BD0" w14:textId="77777777" w:rsidR="00556FE6" w:rsidRPr="00563B0C" w:rsidRDefault="00556FE6" w:rsidP="00A57939">
            <w:pPr>
              <w:pStyle w:val="BodyText2"/>
              <w:tabs>
                <w:tab w:val="clear" w:pos="1260"/>
                <w:tab w:val="clear" w:pos="8100"/>
                <w:tab w:val="clear" w:pos="9360"/>
              </w:tabs>
              <w:suppressAutoHyphens w:val="0"/>
              <w:rPr>
                <w:rFonts w:cs="Arial"/>
                <w:sz w:val="22"/>
                <w:szCs w:val="22"/>
              </w:rPr>
            </w:pPr>
          </w:p>
        </w:tc>
        <w:tc>
          <w:tcPr>
            <w:tcW w:w="3877" w:type="dxa"/>
          </w:tcPr>
          <w:p w14:paraId="60845AF4" w14:textId="77777777" w:rsidR="00556FE6" w:rsidRPr="00563B0C" w:rsidRDefault="00556FE6" w:rsidP="00A57939">
            <w:pPr>
              <w:pStyle w:val="BodyText2"/>
              <w:tabs>
                <w:tab w:val="clear" w:pos="1260"/>
                <w:tab w:val="clear" w:pos="8100"/>
                <w:tab w:val="clear" w:pos="9360"/>
              </w:tabs>
              <w:suppressAutoHyphens w:val="0"/>
              <w:jc w:val="right"/>
              <w:rPr>
                <w:rFonts w:cs="Arial"/>
                <w:sz w:val="22"/>
                <w:szCs w:val="22"/>
              </w:rPr>
            </w:pPr>
          </w:p>
        </w:tc>
      </w:tr>
      <w:tr w:rsidR="00556FE6" w:rsidRPr="00563B0C" w14:paraId="1F4C7712" w14:textId="77777777" w:rsidTr="00D25DF8">
        <w:tc>
          <w:tcPr>
            <w:tcW w:w="5162" w:type="dxa"/>
          </w:tcPr>
          <w:p w14:paraId="78D1CDD5" w14:textId="43AC6DA3" w:rsidR="00556FE6" w:rsidRPr="00834A8C" w:rsidRDefault="00591815" w:rsidP="00A57939">
            <w:pPr>
              <w:jc w:val="both"/>
              <w:rPr>
                <w:rFonts w:cs="Arial"/>
                <w:i/>
                <w:spacing w:val="-2"/>
                <w:szCs w:val="22"/>
              </w:rPr>
            </w:pPr>
            <w:r w:rsidRPr="00834A8C">
              <w:rPr>
                <w:rFonts w:cs="Arial"/>
                <w:i/>
                <w:spacing w:val="-2"/>
                <w:szCs w:val="22"/>
              </w:rPr>
              <w:t>Preference</w:t>
            </w:r>
            <w:r w:rsidR="001A5FB0" w:rsidRPr="00834A8C">
              <w:rPr>
                <w:rFonts w:cs="Arial"/>
                <w:i/>
                <w:spacing w:val="-2"/>
                <w:szCs w:val="22"/>
              </w:rPr>
              <w:t xml:space="preserve"> Shares </w:t>
            </w:r>
            <w:r w:rsidR="00401150">
              <w:rPr>
                <w:rFonts w:cs="Arial"/>
                <w:i/>
                <w:spacing w:val="-2"/>
                <w:szCs w:val="22"/>
              </w:rPr>
              <w:t>-</w:t>
            </w:r>
          </w:p>
          <w:p w14:paraId="23D256A6" w14:textId="77777777" w:rsidR="00556FE6" w:rsidRPr="00834A8C" w:rsidRDefault="001A5FB0" w:rsidP="00A57939">
            <w:pPr>
              <w:jc w:val="both"/>
              <w:rPr>
                <w:rFonts w:cs="Arial"/>
                <w:i/>
                <w:spacing w:val="-2"/>
                <w:szCs w:val="22"/>
              </w:rPr>
            </w:pPr>
            <w:r w:rsidRPr="00834A8C">
              <w:rPr>
                <w:rFonts w:cs="Arial"/>
                <w:i/>
                <w:spacing w:val="-2"/>
                <w:szCs w:val="22"/>
              </w:rPr>
              <w:t>Investments in CATCo-Re Ltd.</w:t>
            </w:r>
          </w:p>
        </w:tc>
        <w:tc>
          <w:tcPr>
            <w:tcW w:w="3877" w:type="dxa"/>
          </w:tcPr>
          <w:p w14:paraId="5752D1EE" w14:textId="77777777" w:rsidR="00556FE6" w:rsidRPr="00834A8C" w:rsidRDefault="001A5FB0" w:rsidP="00A57939">
            <w:pPr>
              <w:pStyle w:val="BodyText2"/>
              <w:tabs>
                <w:tab w:val="clear" w:pos="1260"/>
                <w:tab w:val="clear" w:pos="8100"/>
                <w:tab w:val="clear" w:pos="9360"/>
              </w:tabs>
              <w:suppressAutoHyphens w:val="0"/>
              <w:jc w:val="right"/>
              <w:rPr>
                <w:rFonts w:cs="Arial"/>
                <w:i/>
                <w:sz w:val="22"/>
                <w:szCs w:val="22"/>
              </w:rPr>
            </w:pPr>
            <w:r w:rsidRPr="00834A8C">
              <w:rPr>
                <w:rFonts w:cs="Arial"/>
                <w:i/>
                <w:sz w:val="22"/>
                <w:szCs w:val="22"/>
              </w:rPr>
              <w:t xml:space="preserve">$ Fair Value </w:t>
            </w:r>
          </w:p>
        </w:tc>
      </w:tr>
      <w:tr w:rsidR="00556FE6" w:rsidRPr="00563B0C" w14:paraId="279AB9B8" w14:textId="77777777" w:rsidTr="00D25DF8">
        <w:tc>
          <w:tcPr>
            <w:tcW w:w="5162" w:type="dxa"/>
          </w:tcPr>
          <w:p w14:paraId="5380BEAF" w14:textId="77777777" w:rsidR="00556FE6" w:rsidRPr="00563B0C" w:rsidRDefault="00556FE6" w:rsidP="00A57939">
            <w:pPr>
              <w:pStyle w:val="BodyText2"/>
              <w:tabs>
                <w:tab w:val="clear" w:pos="1260"/>
                <w:tab w:val="clear" w:pos="8100"/>
                <w:tab w:val="clear" w:pos="9360"/>
              </w:tabs>
              <w:suppressAutoHyphens w:val="0"/>
              <w:rPr>
                <w:rFonts w:cs="Arial"/>
                <w:sz w:val="22"/>
                <w:szCs w:val="22"/>
              </w:rPr>
            </w:pPr>
          </w:p>
        </w:tc>
        <w:tc>
          <w:tcPr>
            <w:tcW w:w="3877" w:type="dxa"/>
          </w:tcPr>
          <w:p w14:paraId="0D2034EA" w14:textId="77777777" w:rsidR="00556FE6" w:rsidRPr="00563B0C" w:rsidRDefault="00556FE6" w:rsidP="00A57939">
            <w:pPr>
              <w:pStyle w:val="BodyText2"/>
              <w:tabs>
                <w:tab w:val="clear" w:pos="1260"/>
                <w:tab w:val="clear" w:pos="8100"/>
                <w:tab w:val="clear" w:pos="9360"/>
              </w:tabs>
              <w:suppressAutoHyphens w:val="0"/>
              <w:jc w:val="right"/>
              <w:rPr>
                <w:rFonts w:cs="Arial"/>
                <w:sz w:val="22"/>
                <w:szCs w:val="22"/>
              </w:rPr>
            </w:pPr>
          </w:p>
        </w:tc>
      </w:tr>
      <w:tr w:rsidR="00473624" w:rsidRPr="00563B0C" w14:paraId="149774BC" w14:textId="77777777" w:rsidTr="00D25DF8">
        <w:tc>
          <w:tcPr>
            <w:tcW w:w="5162" w:type="dxa"/>
          </w:tcPr>
          <w:p w14:paraId="75D390F9"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AA Preference Shares</w:t>
            </w:r>
          </w:p>
        </w:tc>
        <w:tc>
          <w:tcPr>
            <w:tcW w:w="3877" w:type="dxa"/>
          </w:tcPr>
          <w:p w14:paraId="506D8516"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16,495,985</w:t>
            </w:r>
          </w:p>
        </w:tc>
      </w:tr>
      <w:tr w:rsidR="00473624" w:rsidRPr="00563B0C" w14:paraId="232F3016" w14:textId="77777777" w:rsidTr="00D25DF8">
        <w:tc>
          <w:tcPr>
            <w:tcW w:w="5162" w:type="dxa"/>
          </w:tcPr>
          <w:p w14:paraId="11661EAD"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CC Preference Shares</w:t>
            </w:r>
          </w:p>
        </w:tc>
        <w:tc>
          <w:tcPr>
            <w:tcW w:w="3877" w:type="dxa"/>
          </w:tcPr>
          <w:p w14:paraId="15B3862D"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1,482,939</w:t>
            </w:r>
          </w:p>
        </w:tc>
      </w:tr>
      <w:tr w:rsidR="00473624" w:rsidRPr="00563B0C" w14:paraId="418EAEB9" w14:textId="77777777" w:rsidTr="00D25DF8">
        <w:tc>
          <w:tcPr>
            <w:tcW w:w="5162" w:type="dxa"/>
          </w:tcPr>
          <w:p w14:paraId="64547742"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KK Preference Shares</w:t>
            </w:r>
          </w:p>
        </w:tc>
        <w:tc>
          <w:tcPr>
            <w:tcW w:w="3877" w:type="dxa"/>
          </w:tcPr>
          <w:p w14:paraId="177012D2"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1,317,978</w:t>
            </w:r>
          </w:p>
        </w:tc>
      </w:tr>
      <w:tr w:rsidR="00473624" w:rsidRPr="00563B0C" w14:paraId="667E755E" w14:textId="77777777" w:rsidTr="00D25DF8">
        <w:tc>
          <w:tcPr>
            <w:tcW w:w="5162" w:type="dxa"/>
          </w:tcPr>
          <w:p w14:paraId="19D1BE09"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S Preference Shares</w:t>
            </w:r>
          </w:p>
        </w:tc>
        <w:tc>
          <w:tcPr>
            <w:tcW w:w="3877" w:type="dxa"/>
          </w:tcPr>
          <w:p w14:paraId="1E74160B"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1,631,152</w:t>
            </w:r>
          </w:p>
        </w:tc>
      </w:tr>
      <w:tr w:rsidR="00473624" w:rsidRPr="00563B0C" w14:paraId="73A779DD" w14:textId="77777777" w:rsidTr="00D25DF8">
        <w:tc>
          <w:tcPr>
            <w:tcW w:w="5162" w:type="dxa"/>
          </w:tcPr>
          <w:p w14:paraId="1C697B08"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T Preference Shares</w:t>
            </w:r>
          </w:p>
        </w:tc>
        <w:tc>
          <w:tcPr>
            <w:tcW w:w="3877" w:type="dxa"/>
          </w:tcPr>
          <w:p w14:paraId="15A19A41"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4,393,771</w:t>
            </w:r>
          </w:p>
        </w:tc>
      </w:tr>
      <w:tr w:rsidR="00473624" w:rsidRPr="00563B0C" w14:paraId="08762083" w14:textId="77777777" w:rsidTr="00D25DF8">
        <w:tc>
          <w:tcPr>
            <w:tcW w:w="5162" w:type="dxa"/>
          </w:tcPr>
          <w:p w14:paraId="7AFB13B6"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W Preference Shares</w:t>
            </w:r>
          </w:p>
        </w:tc>
        <w:tc>
          <w:tcPr>
            <w:tcW w:w="3877" w:type="dxa"/>
          </w:tcPr>
          <w:p w14:paraId="0D3013D9"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1,745</w:t>
            </w:r>
          </w:p>
        </w:tc>
      </w:tr>
      <w:tr w:rsidR="00473624" w:rsidRPr="00563B0C" w14:paraId="7FD39362" w14:textId="77777777" w:rsidTr="00D25DF8">
        <w:tc>
          <w:tcPr>
            <w:tcW w:w="5162" w:type="dxa"/>
          </w:tcPr>
          <w:p w14:paraId="36C9E94D"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X Preference Shares</w:t>
            </w:r>
          </w:p>
        </w:tc>
        <w:tc>
          <w:tcPr>
            <w:tcW w:w="3877" w:type="dxa"/>
          </w:tcPr>
          <w:p w14:paraId="7B081326"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113,161</w:t>
            </w:r>
          </w:p>
        </w:tc>
      </w:tr>
      <w:tr w:rsidR="00473624" w:rsidRPr="00563B0C" w14:paraId="62262960" w14:textId="77777777" w:rsidTr="00D25DF8">
        <w:tc>
          <w:tcPr>
            <w:tcW w:w="5162" w:type="dxa"/>
          </w:tcPr>
          <w:p w14:paraId="72CA1D18"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Z Preference Shares</w:t>
            </w:r>
          </w:p>
        </w:tc>
        <w:tc>
          <w:tcPr>
            <w:tcW w:w="3877" w:type="dxa"/>
          </w:tcPr>
          <w:p w14:paraId="4ECB23B8"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1,717</w:t>
            </w:r>
          </w:p>
        </w:tc>
      </w:tr>
      <w:tr w:rsidR="00473624" w:rsidRPr="00563B0C" w14:paraId="24B17581" w14:textId="77777777" w:rsidTr="00D25DF8">
        <w:tc>
          <w:tcPr>
            <w:tcW w:w="5162" w:type="dxa"/>
          </w:tcPr>
          <w:p w14:paraId="6D0E386A"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SP Preference Shares</w:t>
            </w:r>
          </w:p>
        </w:tc>
        <w:tc>
          <w:tcPr>
            <w:tcW w:w="3877" w:type="dxa"/>
          </w:tcPr>
          <w:p w14:paraId="559733F7"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6,922</w:t>
            </w:r>
          </w:p>
        </w:tc>
      </w:tr>
      <w:tr w:rsidR="00473624" w:rsidRPr="00563B0C" w14:paraId="49EB1047" w14:textId="77777777" w:rsidTr="00D25DF8">
        <w:tc>
          <w:tcPr>
            <w:tcW w:w="5162" w:type="dxa"/>
          </w:tcPr>
          <w:p w14:paraId="46F5A97C"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AE Preference Shares</w:t>
            </w:r>
          </w:p>
        </w:tc>
        <w:tc>
          <w:tcPr>
            <w:tcW w:w="3877" w:type="dxa"/>
          </w:tcPr>
          <w:p w14:paraId="5973C8CC"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9,537,737</w:t>
            </w:r>
          </w:p>
        </w:tc>
      </w:tr>
      <w:tr w:rsidR="00473624" w:rsidRPr="00563B0C" w14:paraId="23081D6A" w14:textId="77777777" w:rsidTr="00D25DF8">
        <w:tc>
          <w:tcPr>
            <w:tcW w:w="5162" w:type="dxa"/>
          </w:tcPr>
          <w:p w14:paraId="59DC4949"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AF Preference Shares</w:t>
            </w:r>
          </w:p>
        </w:tc>
        <w:tc>
          <w:tcPr>
            <w:tcW w:w="3877" w:type="dxa"/>
          </w:tcPr>
          <w:p w14:paraId="72F45906"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4,026,172</w:t>
            </w:r>
          </w:p>
        </w:tc>
      </w:tr>
      <w:tr w:rsidR="00473624" w:rsidRPr="00563B0C" w14:paraId="448A0D4C" w14:textId="77777777" w:rsidTr="00D25DF8">
        <w:tc>
          <w:tcPr>
            <w:tcW w:w="5162" w:type="dxa"/>
          </w:tcPr>
          <w:p w14:paraId="095D2415"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AH Preference Shares</w:t>
            </w:r>
          </w:p>
        </w:tc>
        <w:tc>
          <w:tcPr>
            <w:tcW w:w="3877" w:type="dxa"/>
          </w:tcPr>
          <w:p w14:paraId="553DF26C"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18,487,683</w:t>
            </w:r>
          </w:p>
        </w:tc>
      </w:tr>
      <w:tr w:rsidR="00473624" w:rsidRPr="00563B0C" w14:paraId="31C47A04" w14:textId="77777777" w:rsidTr="00D25DF8">
        <w:tc>
          <w:tcPr>
            <w:tcW w:w="5162" w:type="dxa"/>
          </w:tcPr>
          <w:p w14:paraId="7F2D044E"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AI Preference Shares</w:t>
            </w:r>
          </w:p>
        </w:tc>
        <w:tc>
          <w:tcPr>
            <w:tcW w:w="3877" w:type="dxa"/>
          </w:tcPr>
          <w:p w14:paraId="7D0B3385"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11,545,265</w:t>
            </w:r>
          </w:p>
        </w:tc>
      </w:tr>
      <w:tr w:rsidR="00473624" w:rsidRPr="00563B0C" w14:paraId="179BA542" w14:textId="77777777" w:rsidTr="00D25DF8">
        <w:tc>
          <w:tcPr>
            <w:tcW w:w="5162" w:type="dxa"/>
          </w:tcPr>
          <w:p w14:paraId="5989B94D"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AK Preference Shares</w:t>
            </w:r>
          </w:p>
        </w:tc>
        <w:tc>
          <w:tcPr>
            <w:tcW w:w="3877" w:type="dxa"/>
          </w:tcPr>
          <w:p w14:paraId="1396B49D"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21,492,687</w:t>
            </w:r>
          </w:p>
        </w:tc>
      </w:tr>
      <w:tr w:rsidR="00473624" w:rsidRPr="00563B0C" w14:paraId="52DADE68" w14:textId="77777777" w:rsidTr="00D25DF8">
        <w:trPr>
          <w:trHeight w:val="70"/>
        </w:trPr>
        <w:tc>
          <w:tcPr>
            <w:tcW w:w="5162" w:type="dxa"/>
          </w:tcPr>
          <w:p w14:paraId="491F8D9F"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AO Preference Shares</w:t>
            </w:r>
          </w:p>
        </w:tc>
        <w:tc>
          <w:tcPr>
            <w:tcW w:w="3877" w:type="dxa"/>
          </w:tcPr>
          <w:p w14:paraId="5A88F2E3"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7,539,690</w:t>
            </w:r>
          </w:p>
        </w:tc>
      </w:tr>
      <w:tr w:rsidR="00473624" w:rsidRPr="00563B0C" w14:paraId="6E2A80F0" w14:textId="77777777" w:rsidTr="00D25DF8">
        <w:tc>
          <w:tcPr>
            <w:tcW w:w="5162" w:type="dxa"/>
          </w:tcPr>
          <w:p w14:paraId="319323DC"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AP Preference Shares</w:t>
            </w:r>
          </w:p>
        </w:tc>
        <w:tc>
          <w:tcPr>
            <w:tcW w:w="3877" w:type="dxa"/>
          </w:tcPr>
          <w:p w14:paraId="74D36DDC"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11,310,765</w:t>
            </w:r>
          </w:p>
        </w:tc>
      </w:tr>
      <w:tr w:rsidR="00473624" w:rsidRPr="00563B0C" w14:paraId="01A8AF45" w14:textId="77777777" w:rsidTr="00D25DF8">
        <w:tc>
          <w:tcPr>
            <w:tcW w:w="5162" w:type="dxa"/>
          </w:tcPr>
          <w:p w14:paraId="6FA1664E"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AQ Preference Shares</w:t>
            </w:r>
          </w:p>
        </w:tc>
        <w:tc>
          <w:tcPr>
            <w:tcW w:w="3877" w:type="dxa"/>
          </w:tcPr>
          <w:p w14:paraId="1DDEA690"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983,913</w:t>
            </w:r>
          </w:p>
        </w:tc>
      </w:tr>
      <w:tr w:rsidR="00473624" w:rsidRPr="00563B0C" w14:paraId="625688F3" w14:textId="77777777" w:rsidTr="00D25DF8">
        <w:tc>
          <w:tcPr>
            <w:tcW w:w="5162" w:type="dxa"/>
          </w:tcPr>
          <w:p w14:paraId="3F588C16"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AR Preference Shares</w:t>
            </w:r>
          </w:p>
        </w:tc>
        <w:tc>
          <w:tcPr>
            <w:tcW w:w="3877" w:type="dxa"/>
          </w:tcPr>
          <w:p w14:paraId="4302ED4D"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9,613,666</w:t>
            </w:r>
          </w:p>
        </w:tc>
      </w:tr>
      <w:tr w:rsidR="00473624" w:rsidRPr="00563B0C" w14:paraId="091AEC84" w14:textId="77777777" w:rsidTr="00D25DF8">
        <w:tc>
          <w:tcPr>
            <w:tcW w:w="5162" w:type="dxa"/>
          </w:tcPr>
          <w:p w14:paraId="2CD0B449"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AT Preference Shares</w:t>
            </w:r>
          </w:p>
        </w:tc>
        <w:tc>
          <w:tcPr>
            <w:tcW w:w="3877" w:type="dxa"/>
          </w:tcPr>
          <w:p w14:paraId="5DA11E79"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4,711,550</w:t>
            </w:r>
          </w:p>
        </w:tc>
      </w:tr>
      <w:tr w:rsidR="00473624" w:rsidRPr="00563B0C" w14:paraId="06DFD195" w14:textId="77777777" w:rsidTr="00D25DF8">
        <w:tc>
          <w:tcPr>
            <w:tcW w:w="5162" w:type="dxa"/>
          </w:tcPr>
          <w:p w14:paraId="68F02E49"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AU Preference Shares</w:t>
            </w:r>
          </w:p>
        </w:tc>
        <w:tc>
          <w:tcPr>
            <w:tcW w:w="3877" w:type="dxa"/>
          </w:tcPr>
          <w:p w14:paraId="612C9869"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2,825,849</w:t>
            </w:r>
          </w:p>
        </w:tc>
      </w:tr>
      <w:tr w:rsidR="00473624" w:rsidRPr="00563B0C" w14:paraId="067C2B42" w14:textId="77777777" w:rsidTr="00D25DF8">
        <w:tc>
          <w:tcPr>
            <w:tcW w:w="5162" w:type="dxa"/>
          </w:tcPr>
          <w:p w14:paraId="53780803"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BE Preference Shares</w:t>
            </w:r>
          </w:p>
        </w:tc>
        <w:tc>
          <w:tcPr>
            <w:tcW w:w="3877" w:type="dxa"/>
          </w:tcPr>
          <w:p w14:paraId="3ED82E7C"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855,429</w:t>
            </w:r>
          </w:p>
        </w:tc>
      </w:tr>
      <w:tr w:rsidR="00473624" w:rsidRPr="00563B0C" w14:paraId="16DAED46" w14:textId="77777777" w:rsidTr="00D25DF8">
        <w:tc>
          <w:tcPr>
            <w:tcW w:w="5162" w:type="dxa"/>
          </w:tcPr>
          <w:p w14:paraId="64943F24"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BF Preference Shares</w:t>
            </w:r>
          </w:p>
        </w:tc>
        <w:tc>
          <w:tcPr>
            <w:tcW w:w="3877" w:type="dxa"/>
          </w:tcPr>
          <w:p w14:paraId="264742D0"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848,257</w:t>
            </w:r>
          </w:p>
        </w:tc>
      </w:tr>
      <w:tr w:rsidR="00473624" w:rsidRPr="00563B0C" w14:paraId="17BDDF8C" w14:textId="77777777" w:rsidTr="00D25DF8">
        <w:tc>
          <w:tcPr>
            <w:tcW w:w="5162" w:type="dxa"/>
          </w:tcPr>
          <w:p w14:paraId="67CD4362"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BI Preference Shares</w:t>
            </w:r>
          </w:p>
        </w:tc>
        <w:tc>
          <w:tcPr>
            <w:tcW w:w="3877" w:type="dxa"/>
          </w:tcPr>
          <w:p w14:paraId="489F0634"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57,317,785</w:t>
            </w:r>
          </w:p>
        </w:tc>
      </w:tr>
      <w:tr w:rsidR="00473624" w:rsidRPr="00563B0C" w14:paraId="419F03ED" w14:textId="77777777" w:rsidTr="00D25DF8">
        <w:tc>
          <w:tcPr>
            <w:tcW w:w="5162" w:type="dxa"/>
          </w:tcPr>
          <w:p w14:paraId="6A35AB7D"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BJ Preference Shares</w:t>
            </w:r>
          </w:p>
        </w:tc>
        <w:tc>
          <w:tcPr>
            <w:tcW w:w="3877" w:type="dxa"/>
          </w:tcPr>
          <w:p w14:paraId="2800CC01"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9,765,769</w:t>
            </w:r>
          </w:p>
        </w:tc>
      </w:tr>
      <w:tr w:rsidR="00473624" w:rsidRPr="00563B0C" w14:paraId="6E97E6EB" w14:textId="77777777" w:rsidTr="00D25DF8">
        <w:tc>
          <w:tcPr>
            <w:tcW w:w="5162" w:type="dxa"/>
          </w:tcPr>
          <w:p w14:paraId="0C667278"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BK Preference Shares</w:t>
            </w:r>
          </w:p>
        </w:tc>
        <w:tc>
          <w:tcPr>
            <w:tcW w:w="3877" w:type="dxa"/>
          </w:tcPr>
          <w:p w14:paraId="51421120"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2,636,985</w:t>
            </w:r>
          </w:p>
        </w:tc>
      </w:tr>
      <w:tr w:rsidR="00473624" w:rsidRPr="00563B0C" w14:paraId="2C0AB727" w14:textId="77777777" w:rsidTr="00D25DF8">
        <w:tc>
          <w:tcPr>
            <w:tcW w:w="5162" w:type="dxa"/>
          </w:tcPr>
          <w:p w14:paraId="5482AD98"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BL Preference Shares</w:t>
            </w:r>
          </w:p>
        </w:tc>
        <w:tc>
          <w:tcPr>
            <w:tcW w:w="3877" w:type="dxa"/>
          </w:tcPr>
          <w:p w14:paraId="344A9389"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25,263,307</w:t>
            </w:r>
          </w:p>
        </w:tc>
      </w:tr>
      <w:tr w:rsidR="00473624" w:rsidRPr="00563B0C" w14:paraId="473C0767" w14:textId="77777777" w:rsidTr="00D25DF8">
        <w:tc>
          <w:tcPr>
            <w:tcW w:w="5162" w:type="dxa"/>
          </w:tcPr>
          <w:p w14:paraId="3221187A"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BM Preference Shares</w:t>
            </w:r>
          </w:p>
        </w:tc>
        <w:tc>
          <w:tcPr>
            <w:tcW w:w="3877" w:type="dxa"/>
          </w:tcPr>
          <w:p w14:paraId="3AB4DAD6"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2,167,473</w:t>
            </w:r>
          </w:p>
        </w:tc>
      </w:tr>
      <w:tr w:rsidR="00473624" w:rsidRPr="00563B0C" w14:paraId="3F087B7E" w14:textId="77777777" w:rsidTr="00D25DF8">
        <w:tc>
          <w:tcPr>
            <w:tcW w:w="5162" w:type="dxa"/>
          </w:tcPr>
          <w:p w14:paraId="64F4D514"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BN Preference Shares</w:t>
            </w:r>
          </w:p>
        </w:tc>
        <w:tc>
          <w:tcPr>
            <w:tcW w:w="3877" w:type="dxa"/>
          </w:tcPr>
          <w:p w14:paraId="1F9F583A"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24,509,144</w:t>
            </w:r>
          </w:p>
        </w:tc>
      </w:tr>
      <w:tr w:rsidR="00473624" w:rsidRPr="00563B0C" w14:paraId="4325CE14" w14:textId="77777777" w:rsidTr="00D25DF8">
        <w:tc>
          <w:tcPr>
            <w:tcW w:w="5162" w:type="dxa"/>
          </w:tcPr>
          <w:p w14:paraId="4376631F"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BO Preference Shares</w:t>
            </w:r>
          </w:p>
        </w:tc>
        <w:tc>
          <w:tcPr>
            <w:tcW w:w="3877" w:type="dxa"/>
          </w:tcPr>
          <w:p w14:paraId="2FC567A4"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34,879,376</w:t>
            </w:r>
          </w:p>
        </w:tc>
      </w:tr>
      <w:tr w:rsidR="00473624" w:rsidRPr="00563B0C" w14:paraId="540BD1B5" w14:textId="77777777" w:rsidTr="00D25DF8">
        <w:tc>
          <w:tcPr>
            <w:tcW w:w="5162" w:type="dxa"/>
          </w:tcPr>
          <w:p w14:paraId="1C5FA464"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BP Preference Shares</w:t>
            </w:r>
          </w:p>
        </w:tc>
        <w:tc>
          <w:tcPr>
            <w:tcW w:w="3877" w:type="dxa"/>
          </w:tcPr>
          <w:p w14:paraId="1C3262FA"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940,292</w:t>
            </w:r>
          </w:p>
        </w:tc>
      </w:tr>
      <w:tr w:rsidR="00473624" w:rsidRPr="00563B0C" w14:paraId="54C38561" w14:textId="77777777" w:rsidTr="00D25DF8">
        <w:tc>
          <w:tcPr>
            <w:tcW w:w="5162" w:type="dxa"/>
          </w:tcPr>
          <w:p w14:paraId="6478F221"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BQ Preference Shares</w:t>
            </w:r>
          </w:p>
        </w:tc>
        <w:tc>
          <w:tcPr>
            <w:tcW w:w="3877" w:type="dxa"/>
          </w:tcPr>
          <w:p w14:paraId="0EEDD2FA"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2,259,750</w:t>
            </w:r>
          </w:p>
        </w:tc>
      </w:tr>
      <w:tr w:rsidR="00473624" w:rsidRPr="00563B0C" w14:paraId="0B754F65" w14:textId="77777777" w:rsidTr="00D25DF8">
        <w:tc>
          <w:tcPr>
            <w:tcW w:w="5162" w:type="dxa"/>
          </w:tcPr>
          <w:p w14:paraId="6BE0BBCB"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BR Preference Shares</w:t>
            </w:r>
          </w:p>
        </w:tc>
        <w:tc>
          <w:tcPr>
            <w:tcW w:w="3877" w:type="dxa"/>
          </w:tcPr>
          <w:p w14:paraId="2791479E"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663,950</w:t>
            </w:r>
          </w:p>
        </w:tc>
      </w:tr>
      <w:tr w:rsidR="00473624" w:rsidRPr="00563B0C" w14:paraId="5EAA9716" w14:textId="77777777" w:rsidTr="00D25DF8">
        <w:tc>
          <w:tcPr>
            <w:tcW w:w="5162" w:type="dxa"/>
          </w:tcPr>
          <w:p w14:paraId="2E7384BF"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BS Preference Shares</w:t>
            </w:r>
          </w:p>
        </w:tc>
        <w:tc>
          <w:tcPr>
            <w:tcW w:w="3877" w:type="dxa"/>
          </w:tcPr>
          <w:p w14:paraId="20B86FED"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167,207</w:t>
            </w:r>
          </w:p>
        </w:tc>
      </w:tr>
      <w:tr w:rsidR="00473624" w:rsidRPr="00563B0C" w14:paraId="2DB61A56" w14:textId="77777777" w:rsidTr="00D25DF8">
        <w:tc>
          <w:tcPr>
            <w:tcW w:w="5162" w:type="dxa"/>
          </w:tcPr>
          <w:p w14:paraId="5173057A"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BT Preference Shares</w:t>
            </w:r>
          </w:p>
        </w:tc>
        <w:tc>
          <w:tcPr>
            <w:tcW w:w="3877" w:type="dxa"/>
          </w:tcPr>
          <w:p w14:paraId="44A5F508"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3,344,267</w:t>
            </w:r>
          </w:p>
        </w:tc>
      </w:tr>
      <w:tr w:rsidR="00473624" w:rsidRPr="00563B0C" w14:paraId="67FA5A65" w14:textId="77777777" w:rsidTr="00D25DF8">
        <w:trPr>
          <w:trHeight w:val="98"/>
        </w:trPr>
        <w:tc>
          <w:tcPr>
            <w:tcW w:w="5162" w:type="dxa"/>
          </w:tcPr>
          <w:p w14:paraId="3E1D1455"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BU Preference Shares</w:t>
            </w:r>
          </w:p>
        </w:tc>
        <w:tc>
          <w:tcPr>
            <w:tcW w:w="3877" w:type="dxa"/>
          </w:tcPr>
          <w:p w14:paraId="7CA1D877"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3,768,530</w:t>
            </w:r>
          </w:p>
        </w:tc>
      </w:tr>
      <w:tr w:rsidR="00473624" w:rsidRPr="00563B0C" w14:paraId="2B9EA9D9" w14:textId="77777777" w:rsidTr="00D25DF8">
        <w:tc>
          <w:tcPr>
            <w:tcW w:w="5162" w:type="dxa"/>
          </w:tcPr>
          <w:p w14:paraId="0A6AB6A0"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BV Preference Shares</w:t>
            </w:r>
          </w:p>
        </w:tc>
        <w:tc>
          <w:tcPr>
            <w:tcW w:w="3877" w:type="dxa"/>
          </w:tcPr>
          <w:p w14:paraId="3AECDB1D"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6,690,382</w:t>
            </w:r>
          </w:p>
        </w:tc>
      </w:tr>
      <w:tr w:rsidR="00473624" w:rsidRPr="00563B0C" w14:paraId="0DDFA2D0" w14:textId="77777777" w:rsidTr="00D25DF8">
        <w:tc>
          <w:tcPr>
            <w:tcW w:w="5162" w:type="dxa"/>
          </w:tcPr>
          <w:p w14:paraId="00E6BA29"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BW Preference Shares</w:t>
            </w:r>
          </w:p>
        </w:tc>
        <w:tc>
          <w:tcPr>
            <w:tcW w:w="3877" w:type="dxa"/>
          </w:tcPr>
          <w:p w14:paraId="2E805F95"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917,428</w:t>
            </w:r>
          </w:p>
        </w:tc>
      </w:tr>
      <w:tr w:rsidR="00473624" w:rsidRPr="00563B0C" w14:paraId="0A16B84E" w14:textId="77777777" w:rsidTr="00D25DF8">
        <w:tc>
          <w:tcPr>
            <w:tcW w:w="5162" w:type="dxa"/>
          </w:tcPr>
          <w:p w14:paraId="5775AFB5"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CE Preference Shares</w:t>
            </w:r>
          </w:p>
        </w:tc>
        <w:tc>
          <w:tcPr>
            <w:tcW w:w="3877" w:type="dxa"/>
          </w:tcPr>
          <w:p w14:paraId="58E2A668"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9,425,138</w:t>
            </w:r>
          </w:p>
        </w:tc>
      </w:tr>
      <w:tr w:rsidR="00473624" w:rsidRPr="00563B0C" w14:paraId="20A5E950" w14:textId="77777777" w:rsidTr="00D25DF8">
        <w:tc>
          <w:tcPr>
            <w:tcW w:w="5162" w:type="dxa"/>
          </w:tcPr>
          <w:p w14:paraId="24A9379E"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CF Preference Shares</w:t>
            </w:r>
          </w:p>
        </w:tc>
        <w:tc>
          <w:tcPr>
            <w:tcW w:w="3877" w:type="dxa"/>
          </w:tcPr>
          <w:p w14:paraId="0AC7737B"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1,826,878</w:t>
            </w:r>
          </w:p>
        </w:tc>
      </w:tr>
      <w:tr w:rsidR="00473624" w:rsidRPr="00563B0C" w14:paraId="36F671CF" w14:textId="77777777" w:rsidTr="00D25DF8">
        <w:tc>
          <w:tcPr>
            <w:tcW w:w="5162" w:type="dxa"/>
          </w:tcPr>
          <w:p w14:paraId="17F45B4F"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CG Preference Shares</w:t>
            </w:r>
          </w:p>
        </w:tc>
        <w:tc>
          <w:tcPr>
            <w:tcW w:w="3877" w:type="dxa"/>
          </w:tcPr>
          <w:p w14:paraId="145FB6D9"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1,823,736</w:t>
            </w:r>
          </w:p>
        </w:tc>
      </w:tr>
      <w:tr w:rsidR="00473624" w:rsidRPr="00563B0C" w14:paraId="6DEE9D8E" w14:textId="77777777" w:rsidTr="00D25DF8">
        <w:tc>
          <w:tcPr>
            <w:tcW w:w="5162" w:type="dxa"/>
          </w:tcPr>
          <w:p w14:paraId="2778D6E9"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CH Preference Shares</w:t>
            </w:r>
          </w:p>
        </w:tc>
        <w:tc>
          <w:tcPr>
            <w:tcW w:w="3877" w:type="dxa"/>
          </w:tcPr>
          <w:p w14:paraId="61D971C6"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24,238</w:t>
            </w:r>
          </w:p>
        </w:tc>
      </w:tr>
      <w:tr w:rsidR="00473624" w:rsidRPr="00563B0C" w14:paraId="6DD1DE76" w14:textId="77777777" w:rsidTr="00D25DF8">
        <w:tc>
          <w:tcPr>
            <w:tcW w:w="5162" w:type="dxa"/>
          </w:tcPr>
          <w:p w14:paraId="761F4E9D"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CI Preference Shares</w:t>
            </w:r>
          </w:p>
        </w:tc>
        <w:tc>
          <w:tcPr>
            <w:tcW w:w="3877" w:type="dxa"/>
          </w:tcPr>
          <w:p w14:paraId="2A17CAF5"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4,574,054</w:t>
            </w:r>
          </w:p>
        </w:tc>
      </w:tr>
      <w:tr w:rsidR="00473624" w:rsidRPr="00563B0C" w14:paraId="47F84268" w14:textId="77777777" w:rsidTr="00D25DF8">
        <w:tc>
          <w:tcPr>
            <w:tcW w:w="5162" w:type="dxa"/>
          </w:tcPr>
          <w:p w14:paraId="27503D52"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CJ Preference Shares</w:t>
            </w:r>
          </w:p>
        </w:tc>
        <w:tc>
          <w:tcPr>
            <w:tcW w:w="3877" w:type="dxa"/>
          </w:tcPr>
          <w:p w14:paraId="4C4D2E5B"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3,626,957</w:t>
            </w:r>
          </w:p>
        </w:tc>
      </w:tr>
      <w:tr w:rsidR="00473624" w:rsidRPr="00563B0C" w14:paraId="0C10C412" w14:textId="77777777" w:rsidTr="00D25DF8">
        <w:tc>
          <w:tcPr>
            <w:tcW w:w="5162" w:type="dxa"/>
          </w:tcPr>
          <w:p w14:paraId="1A187875"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CK Preference Shares</w:t>
            </w:r>
          </w:p>
        </w:tc>
        <w:tc>
          <w:tcPr>
            <w:tcW w:w="3877" w:type="dxa"/>
          </w:tcPr>
          <w:p w14:paraId="37D1F0D4"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1,883,649</w:t>
            </w:r>
          </w:p>
        </w:tc>
      </w:tr>
      <w:tr w:rsidR="00473624" w:rsidRPr="00563B0C" w14:paraId="1BB040C2" w14:textId="77777777" w:rsidTr="00D25DF8">
        <w:tc>
          <w:tcPr>
            <w:tcW w:w="5162" w:type="dxa"/>
          </w:tcPr>
          <w:p w14:paraId="7A3E8BDA"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CL Preference Shares</w:t>
            </w:r>
          </w:p>
        </w:tc>
        <w:tc>
          <w:tcPr>
            <w:tcW w:w="3877" w:type="dxa"/>
          </w:tcPr>
          <w:p w14:paraId="4C881591"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2,756,983</w:t>
            </w:r>
          </w:p>
        </w:tc>
      </w:tr>
      <w:tr w:rsidR="00473624" w:rsidRPr="00563B0C" w14:paraId="44F06598" w14:textId="77777777" w:rsidTr="00D25DF8">
        <w:tc>
          <w:tcPr>
            <w:tcW w:w="5162" w:type="dxa"/>
          </w:tcPr>
          <w:p w14:paraId="53B1073A"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CM Preference Shares</w:t>
            </w:r>
          </w:p>
        </w:tc>
        <w:tc>
          <w:tcPr>
            <w:tcW w:w="3877" w:type="dxa"/>
          </w:tcPr>
          <w:p w14:paraId="496F111D"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3,520,926</w:t>
            </w:r>
          </w:p>
        </w:tc>
      </w:tr>
      <w:tr w:rsidR="00473624" w:rsidRPr="00563B0C" w14:paraId="2740194E" w14:textId="77777777" w:rsidTr="00D25DF8">
        <w:tc>
          <w:tcPr>
            <w:tcW w:w="5162" w:type="dxa"/>
          </w:tcPr>
          <w:p w14:paraId="55764CD0"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CN Preference Shares</w:t>
            </w:r>
          </w:p>
        </w:tc>
        <w:tc>
          <w:tcPr>
            <w:tcW w:w="3877" w:type="dxa"/>
          </w:tcPr>
          <w:p w14:paraId="366DA42D"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2,746,540</w:t>
            </w:r>
          </w:p>
        </w:tc>
      </w:tr>
      <w:tr w:rsidR="00473624" w:rsidRPr="00563B0C" w14:paraId="2964A571" w14:textId="77777777" w:rsidTr="00D25DF8">
        <w:tc>
          <w:tcPr>
            <w:tcW w:w="5162" w:type="dxa"/>
          </w:tcPr>
          <w:p w14:paraId="61179FB3"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CO Preference Shares</w:t>
            </w:r>
          </w:p>
        </w:tc>
        <w:tc>
          <w:tcPr>
            <w:tcW w:w="3877" w:type="dxa"/>
          </w:tcPr>
          <w:p w14:paraId="6256721D"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941,062</w:t>
            </w:r>
          </w:p>
        </w:tc>
      </w:tr>
      <w:tr w:rsidR="00473624" w:rsidRPr="00563B0C" w14:paraId="31813203" w14:textId="77777777" w:rsidTr="00D25DF8">
        <w:tc>
          <w:tcPr>
            <w:tcW w:w="5162" w:type="dxa"/>
          </w:tcPr>
          <w:p w14:paraId="152BB0E7"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CP Preference Shares</w:t>
            </w:r>
          </w:p>
        </w:tc>
        <w:tc>
          <w:tcPr>
            <w:tcW w:w="3877" w:type="dxa"/>
          </w:tcPr>
          <w:p w14:paraId="482E4105"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1,884,111</w:t>
            </w:r>
          </w:p>
        </w:tc>
      </w:tr>
      <w:tr w:rsidR="00473624" w:rsidRPr="00563B0C" w14:paraId="6063204F" w14:textId="77777777" w:rsidTr="00D25DF8">
        <w:tc>
          <w:tcPr>
            <w:tcW w:w="5162" w:type="dxa"/>
          </w:tcPr>
          <w:p w14:paraId="446864B9"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CQ Preference Shares</w:t>
            </w:r>
          </w:p>
        </w:tc>
        <w:tc>
          <w:tcPr>
            <w:tcW w:w="3877" w:type="dxa"/>
          </w:tcPr>
          <w:p w14:paraId="73ECD98E"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4,240,764</w:t>
            </w:r>
          </w:p>
        </w:tc>
      </w:tr>
      <w:tr w:rsidR="00473624" w:rsidRPr="00563B0C" w14:paraId="50A828DB" w14:textId="77777777" w:rsidTr="00D25DF8">
        <w:tc>
          <w:tcPr>
            <w:tcW w:w="5162" w:type="dxa"/>
          </w:tcPr>
          <w:p w14:paraId="55DB5D20"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CR Preference Shares</w:t>
            </w:r>
          </w:p>
        </w:tc>
        <w:tc>
          <w:tcPr>
            <w:tcW w:w="3877" w:type="dxa"/>
          </w:tcPr>
          <w:p w14:paraId="5B907A14"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6,076,446</w:t>
            </w:r>
          </w:p>
        </w:tc>
      </w:tr>
      <w:tr w:rsidR="00473624" w:rsidRPr="00563B0C" w14:paraId="3372C50C" w14:textId="77777777" w:rsidTr="00D25DF8">
        <w:tc>
          <w:tcPr>
            <w:tcW w:w="5162" w:type="dxa"/>
          </w:tcPr>
          <w:p w14:paraId="5E34405C"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CS Preference Shares</w:t>
            </w:r>
          </w:p>
        </w:tc>
        <w:tc>
          <w:tcPr>
            <w:tcW w:w="3877" w:type="dxa"/>
          </w:tcPr>
          <w:p w14:paraId="1595EB5B"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3,769,077</w:t>
            </w:r>
          </w:p>
        </w:tc>
      </w:tr>
      <w:tr w:rsidR="00473624" w:rsidRPr="00563B0C" w14:paraId="2BDDA940" w14:textId="77777777" w:rsidTr="00D25DF8">
        <w:tc>
          <w:tcPr>
            <w:tcW w:w="5162" w:type="dxa"/>
          </w:tcPr>
          <w:p w14:paraId="54FE1FAC"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CT Preference Shares</w:t>
            </w:r>
          </w:p>
        </w:tc>
        <w:tc>
          <w:tcPr>
            <w:tcW w:w="3877" w:type="dxa"/>
          </w:tcPr>
          <w:p w14:paraId="3411D9CF"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3,769,438</w:t>
            </w:r>
          </w:p>
        </w:tc>
      </w:tr>
      <w:tr w:rsidR="00473624" w:rsidRPr="00563B0C" w14:paraId="677A72AC" w14:textId="77777777" w:rsidTr="00D25DF8">
        <w:tc>
          <w:tcPr>
            <w:tcW w:w="5162" w:type="dxa"/>
          </w:tcPr>
          <w:p w14:paraId="71B2C7ED"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CU Preference Shares</w:t>
            </w:r>
          </w:p>
        </w:tc>
        <w:tc>
          <w:tcPr>
            <w:tcW w:w="3877" w:type="dxa"/>
          </w:tcPr>
          <w:p w14:paraId="72ACBA78"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98,186</w:t>
            </w:r>
          </w:p>
        </w:tc>
      </w:tr>
      <w:tr w:rsidR="00473624" w:rsidRPr="00563B0C" w14:paraId="4DDA6113" w14:textId="77777777" w:rsidTr="00D25DF8">
        <w:tc>
          <w:tcPr>
            <w:tcW w:w="5162" w:type="dxa"/>
          </w:tcPr>
          <w:p w14:paraId="5F8E0BAC"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CV Preference Shares</w:t>
            </w:r>
          </w:p>
        </w:tc>
        <w:tc>
          <w:tcPr>
            <w:tcW w:w="3877" w:type="dxa"/>
          </w:tcPr>
          <w:p w14:paraId="6762A17F"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2,319,849</w:t>
            </w:r>
          </w:p>
        </w:tc>
      </w:tr>
      <w:tr w:rsidR="00473624" w:rsidRPr="00563B0C" w14:paraId="520B2C29" w14:textId="77777777" w:rsidTr="00D25DF8">
        <w:tc>
          <w:tcPr>
            <w:tcW w:w="5162" w:type="dxa"/>
          </w:tcPr>
          <w:p w14:paraId="4DCAEADF" w14:textId="77777777" w:rsidR="00473624" w:rsidRPr="00473624" w:rsidRDefault="00473624" w:rsidP="00473624">
            <w:pPr>
              <w:pStyle w:val="BodyText2"/>
              <w:tabs>
                <w:tab w:val="clear" w:pos="1260"/>
                <w:tab w:val="clear" w:pos="8100"/>
                <w:tab w:val="clear" w:pos="9360"/>
              </w:tabs>
              <w:suppressAutoHyphens w:val="0"/>
              <w:rPr>
                <w:rFonts w:cs="Arial"/>
                <w:sz w:val="22"/>
                <w:szCs w:val="22"/>
              </w:rPr>
            </w:pPr>
            <w:r w:rsidRPr="00473624">
              <w:rPr>
                <w:rFonts w:cs="Arial"/>
                <w:sz w:val="22"/>
                <w:szCs w:val="22"/>
              </w:rPr>
              <w:t>Class CY Preference Shares</w:t>
            </w:r>
          </w:p>
        </w:tc>
        <w:tc>
          <w:tcPr>
            <w:tcW w:w="3877" w:type="dxa"/>
          </w:tcPr>
          <w:p w14:paraId="7CA14619" w14:textId="77777777" w:rsidR="00473624" w:rsidRPr="00473624" w:rsidRDefault="00473624" w:rsidP="00473624">
            <w:pPr>
              <w:pStyle w:val="BodyText2"/>
              <w:tabs>
                <w:tab w:val="clear" w:pos="1260"/>
                <w:tab w:val="clear" w:pos="8100"/>
                <w:tab w:val="clear" w:pos="9360"/>
              </w:tabs>
              <w:suppressAutoHyphens w:val="0"/>
              <w:jc w:val="right"/>
              <w:rPr>
                <w:rFonts w:cs="Arial"/>
                <w:sz w:val="22"/>
                <w:szCs w:val="22"/>
              </w:rPr>
            </w:pPr>
            <w:r w:rsidRPr="00473624">
              <w:rPr>
                <w:rFonts w:cs="Arial"/>
                <w:sz w:val="22"/>
                <w:szCs w:val="22"/>
              </w:rPr>
              <w:t>900,403</w:t>
            </w:r>
          </w:p>
        </w:tc>
      </w:tr>
      <w:tr w:rsidR="00591815" w:rsidRPr="00563B0C" w14:paraId="397872FC" w14:textId="77777777" w:rsidTr="00D25DF8">
        <w:tc>
          <w:tcPr>
            <w:tcW w:w="5162" w:type="dxa"/>
          </w:tcPr>
          <w:p w14:paraId="11A9FD22" w14:textId="77777777" w:rsidR="00591815" w:rsidRPr="00473624" w:rsidRDefault="00591815">
            <w:pPr>
              <w:pStyle w:val="BodyText2"/>
              <w:tabs>
                <w:tab w:val="clear" w:pos="1260"/>
                <w:tab w:val="clear" w:pos="8100"/>
                <w:tab w:val="clear" w:pos="9360"/>
              </w:tabs>
              <w:suppressAutoHyphens w:val="0"/>
              <w:rPr>
                <w:rFonts w:cs="Arial"/>
                <w:b/>
                <w:sz w:val="22"/>
                <w:szCs w:val="22"/>
              </w:rPr>
            </w:pPr>
            <w:r w:rsidRPr="00473624">
              <w:rPr>
                <w:rFonts w:cs="Arial"/>
                <w:b/>
                <w:sz w:val="22"/>
                <w:szCs w:val="22"/>
              </w:rPr>
              <w:t>Total Investments in CATCo-Re Ltd.</w:t>
            </w:r>
          </w:p>
        </w:tc>
        <w:tc>
          <w:tcPr>
            <w:tcW w:w="3877" w:type="dxa"/>
          </w:tcPr>
          <w:p w14:paraId="4160CBD5" w14:textId="77777777" w:rsidR="00591815" w:rsidRPr="00473624" w:rsidRDefault="00473624" w:rsidP="00C24EB8">
            <w:pPr>
              <w:pStyle w:val="BodyText2"/>
              <w:tabs>
                <w:tab w:val="clear" w:pos="1260"/>
                <w:tab w:val="clear" w:pos="8100"/>
                <w:tab w:val="clear" w:pos="9360"/>
              </w:tabs>
              <w:suppressAutoHyphens w:val="0"/>
              <w:jc w:val="right"/>
              <w:rPr>
                <w:rFonts w:cs="Arial"/>
                <w:b/>
                <w:sz w:val="22"/>
                <w:szCs w:val="22"/>
              </w:rPr>
            </w:pPr>
            <w:r w:rsidRPr="00473624">
              <w:rPr>
                <w:rFonts w:cs="Arial"/>
                <w:b/>
                <w:sz w:val="22"/>
                <w:szCs w:val="22"/>
              </w:rPr>
              <w:t>$360,724,113</w:t>
            </w:r>
          </w:p>
        </w:tc>
      </w:tr>
      <w:tr w:rsidR="00591815" w:rsidRPr="00563B0C" w14:paraId="406B820F" w14:textId="77777777" w:rsidTr="00D25DF8">
        <w:tc>
          <w:tcPr>
            <w:tcW w:w="5162" w:type="dxa"/>
          </w:tcPr>
          <w:p w14:paraId="5CE007C2" w14:textId="77777777" w:rsidR="00591815" w:rsidRPr="00563B0C" w:rsidRDefault="00591815" w:rsidP="00C24EB8">
            <w:pPr>
              <w:pStyle w:val="BodyText2"/>
              <w:tabs>
                <w:tab w:val="clear" w:pos="1260"/>
                <w:tab w:val="clear" w:pos="8100"/>
                <w:tab w:val="clear" w:pos="9360"/>
              </w:tabs>
              <w:suppressAutoHyphens w:val="0"/>
              <w:rPr>
                <w:rFonts w:cs="Arial"/>
                <w:sz w:val="22"/>
                <w:szCs w:val="22"/>
              </w:rPr>
            </w:pPr>
          </w:p>
        </w:tc>
        <w:tc>
          <w:tcPr>
            <w:tcW w:w="3877" w:type="dxa"/>
          </w:tcPr>
          <w:p w14:paraId="199691FE" w14:textId="77777777" w:rsidR="00591815" w:rsidRPr="00563B0C" w:rsidRDefault="00591815" w:rsidP="00C24EB8">
            <w:pPr>
              <w:pStyle w:val="BodyText2"/>
              <w:tabs>
                <w:tab w:val="clear" w:pos="1260"/>
                <w:tab w:val="clear" w:pos="8100"/>
                <w:tab w:val="clear" w:pos="9360"/>
              </w:tabs>
              <w:suppressAutoHyphens w:val="0"/>
              <w:jc w:val="right"/>
              <w:rPr>
                <w:rFonts w:cs="Arial"/>
                <w:sz w:val="22"/>
                <w:szCs w:val="22"/>
              </w:rPr>
            </w:pPr>
          </w:p>
        </w:tc>
      </w:tr>
    </w:tbl>
    <w:p w14:paraId="1E767A5E" w14:textId="77777777" w:rsidR="005C2380" w:rsidRDefault="005C2380" w:rsidP="00BE7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p>
    <w:p w14:paraId="67643029" w14:textId="485A1882" w:rsidR="008A2614" w:rsidRDefault="00F45A0F" w:rsidP="00F45A0F">
      <w:pPr>
        <w:widowControl w:val="0"/>
        <w:autoSpaceDE w:val="0"/>
        <w:autoSpaceDN w:val="0"/>
        <w:adjustRightInd w:val="0"/>
        <w:spacing w:after="240" w:line="280" w:lineRule="atLeast"/>
        <w:contextualSpacing/>
        <w:rPr>
          <w:rFonts w:cs="Arial"/>
          <w:szCs w:val="22"/>
        </w:rPr>
      </w:pPr>
      <w:r w:rsidRPr="00F45A0F">
        <w:rPr>
          <w:rFonts w:cs="Arial"/>
          <w:szCs w:val="22"/>
        </w:rPr>
        <w:t xml:space="preserve">Included within the Company’s investment in </w:t>
      </w:r>
      <w:r w:rsidR="00BD78B7">
        <w:rPr>
          <w:rFonts w:cs="Arial"/>
          <w:szCs w:val="22"/>
        </w:rPr>
        <w:t xml:space="preserve">the </w:t>
      </w:r>
      <w:r w:rsidRPr="00F45A0F">
        <w:rPr>
          <w:rFonts w:cs="Arial"/>
          <w:szCs w:val="22"/>
        </w:rPr>
        <w:t xml:space="preserve">Master Fund is cash and cash equivalents held in trust by the Master Fund representing the Company’s proportionate share of derivative transactions entered into by the Master Fund amounting to approximately $42,730,882 (2014 – nil). The total balance of investments held in the Master Fund of $347,516,987 is net of </w:t>
      </w:r>
      <w:proofErr w:type="spellStart"/>
      <w:r w:rsidRPr="00F45A0F">
        <w:rPr>
          <w:rFonts w:cs="Arial"/>
          <w:szCs w:val="22"/>
        </w:rPr>
        <w:t>undeployed</w:t>
      </w:r>
      <w:proofErr w:type="spellEnd"/>
      <w:r w:rsidRPr="00F45A0F">
        <w:rPr>
          <w:rFonts w:cs="Arial"/>
          <w:szCs w:val="22"/>
        </w:rPr>
        <w:t xml:space="preserve"> cash, performance fee and management fee accruals recorded by the Master Fund.</w:t>
      </w:r>
    </w:p>
    <w:p w14:paraId="2056A9B5" w14:textId="77777777" w:rsidR="00F45A0F" w:rsidRPr="00563B0C" w:rsidRDefault="00F45A0F" w:rsidP="00F45A0F">
      <w:pPr>
        <w:widowControl w:val="0"/>
        <w:autoSpaceDE w:val="0"/>
        <w:autoSpaceDN w:val="0"/>
        <w:adjustRightInd w:val="0"/>
        <w:spacing w:after="240" w:line="280" w:lineRule="atLeast"/>
        <w:contextualSpacing/>
        <w:rPr>
          <w:rFonts w:cs="Arial"/>
          <w:szCs w:val="22"/>
        </w:rPr>
      </w:pPr>
    </w:p>
    <w:p w14:paraId="5459B64B" w14:textId="28A12E58" w:rsidR="00D25DF8" w:rsidRPr="00D25DF8" w:rsidRDefault="00D25DF8" w:rsidP="00D25DF8">
      <w:pPr>
        <w:widowControl w:val="0"/>
        <w:autoSpaceDE w:val="0"/>
        <w:autoSpaceDN w:val="0"/>
        <w:adjustRightInd w:val="0"/>
        <w:spacing w:after="240" w:line="280" w:lineRule="atLeast"/>
        <w:contextualSpacing/>
        <w:rPr>
          <w:rFonts w:cs="Arial"/>
          <w:szCs w:val="22"/>
        </w:rPr>
      </w:pPr>
      <w:r w:rsidRPr="00D25DF8">
        <w:rPr>
          <w:rFonts w:cs="Arial"/>
          <w:szCs w:val="22"/>
        </w:rPr>
        <w:t xml:space="preserve">The Company’s assets and liabilities recorded at fair value have been </w:t>
      </w:r>
      <w:proofErr w:type="spellStart"/>
      <w:r w:rsidRPr="00D25DF8">
        <w:rPr>
          <w:rFonts w:cs="Arial"/>
          <w:szCs w:val="22"/>
        </w:rPr>
        <w:t>categorised</w:t>
      </w:r>
      <w:proofErr w:type="spellEnd"/>
      <w:r w:rsidRPr="00D25DF8">
        <w:rPr>
          <w:rFonts w:cs="Arial"/>
          <w:szCs w:val="22"/>
        </w:rPr>
        <w:t xml:space="preserve"> based upon a fair value hierarchy as described in the Company’s significant accounting policies in Note 1. The </w:t>
      </w:r>
      <w:r w:rsidR="004F6EDF">
        <w:rPr>
          <w:rFonts w:cs="Arial"/>
          <w:szCs w:val="22"/>
        </w:rPr>
        <w:t xml:space="preserve">following table presents </w:t>
      </w:r>
      <w:r w:rsidRPr="00D25DF8">
        <w:rPr>
          <w:rFonts w:cs="Arial"/>
          <w:szCs w:val="22"/>
        </w:rPr>
        <w:t xml:space="preserve">information about the Company’s assets measured at fair value: </w:t>
      </w:r>
    </w:p>
    <w:p w14:paraId="586B882C" w14:textId="5ED2B43F" w:rsidR="00391350" w:rsidRPr="00563B0C" w:rsidRDefault="00391350" w:rsidP="00391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p>
    <w:p w14:paraId="3053EDC1" w14:textId="5D77B4C0" w:rsidR="00C24EB8" w:rsidRPr="00261BD5" w:rsidRDefault="001A5FB0" w:rsidP="00391350">
      <w:pPr>
        <w:widowControl w:val="0"/>
        <w:autoSpaceDE w:val="0"/>
        <w:autoSpaceDN w:val="0"/>
        <w:adjustRightInd w:val="0"/>
        <w:spacing w:after="240"/>
        <w:rPr>
          <w:rFonts w:cs="Arial"/>
          <w:i/>
          <w:sz w:val="20"/>
        </w:rPr>
      </w:pPr>
      <w:r w:rsidRPr="00261BD5">
        <w:rPr>
          <w:rFonts w:cs="Arial"/>
          <w:i/>
          <w:sz w:val="20"/>
        </w:rPr>
        <w:t xml:space="preserve">Year ended 31 </w:t>
      </w:r>
      <w:r w:rsidR="00D25DF8" w:rsidRPr="00261BD5">
        <w:rPr>
          <w:rFonts w:cs="Arial"/>
          <w:i/>
          <w:sz w:val="20"/>
        </w:rPr>
        <w:t>December 2015</w:t>
      </w:r>
    </w:p>
    <w:tbl>
      <w:tblPr>
        <w:tblW w:w="0" w:type="auto"/>
        <w:tblLook w:val="00A0" w:firstRow="1" w:lastRow="0" w:firstColumn="1" w:lastColumn="0" w:noHBand="0" w:noVBand="0"/>
      </w:tblPr>
      <w:tblGrid>
        <w:gridCol w:w="3369"/>
        <w:gridCol w:w="1417"/>
        <w:gridCol w:w="1409"/>
        <w:gridCol w:w="2065"/>
        <w:gridCol w:w="2065"/>
      </w:tblGrid>
      <w:tr w:rsidR="00C24EB8" w:rsidRPr="00563B0C" w14:paraId="372D66F0" w14:textId="77777777" w:rsidTr="00C24EB8">
        <w:tc>
          <w:tcPr>
            <w:tcW w:w="3369" w:type="dxa"/>
          </w:tcPr>
          <w:p w14:paraId="1ED4E2ED" w14:textId="77777777" w:rsidR="00C24EB8" w:rsidRPr="0003299E" w:rsidRDefault="00C24EB8" w:rsidP="00391350">
            <w:pPr>
              <w:jc w:val="both"/>
              <w:rPr>
                <w:rFonts w:cs="Arial"/>
                <w:spacing w:val="-2"/>
                <w:szCs w:val="22"/>
              </w:rPr>
            </w:pPr>
          </w:p>
        </w:tc>
        <w:tc>
          <w:tcPr>
            <w:tcW w:w="1417" w:type="dxa"/>
          </w:tcPr>
          <w:p w14:paraId="68126175" w14:textId="77777777" w:rsidR="00C24EB8" w:rsidRPr="0003299E" w:rsidRDefault="001A5FB0" w:rsidP="00391350">
            <w:pPr>
              <w:jc w:val="both"/>
              <w:rPr>
                <w:rFonts w:cs="Arial"/>
                <w:spacing w:val="-2"/>
                <w:szCs w:val="22"/>
              </w:rPr>
            </w:pPr>
            <w:r w:rsidRPr="0003299E">
              <w:rPr>
                <w:rFonts w:cs="Arial"/>
                <w:b/>
                <w:sz w:val="20"/>
              </w:rPr>
              <w:t>Level 1</w:t>
            </w:r>
            <w:r w:rsidRPr="0003299E">
              <w:rPr>
                <w:rFonts w:cs="Arial"/>
                <w:b/>
                <w:sz w:val="20"/>
              </w:rPr>
              <w:tab/>
            </w:r>
          </w:p>
        </w:tc>
        <w:tc>
          <w:tcPr>
            <w:tcW w:w="1409" w:type="dxa"/>
          </w:tcPr>
          <w:p w14:paraId="2431AAA9" w14:textId="77777777" w:rsidR="00C24EB8" w:rsidRPr="0003299E" w:rsidRDefault="001A5FB0" w:rsidP="00391350">
            <w:pPr>
              <w:jc w:val="both"/>
              <w:rPr>
                <w:rFonts w:cs="Arial"/>
                <w:spacing w:val="-2"/>
                <w:szCs w:val="22"/>
              </w:rPr>
            </w:pPr>
            <w:r w:rsidRPr="0003299E">
              <w:rPr>
                <w:rFonts w:cs="Arial"/>
                <w:b/>
                <w:sz w:val="20"/>
              </w:rPr>
              <w:t>Level 2</w:t>
            </w:r>
          </w:p>
        </w:tc>
        <w:tc>
          <w:tcPr>
            <w:tcW w:w="2065" w:type="dxa"/>
          </w:tcPr>
          <w:p w14:paraId="206CD11D" w14:textId="77777777" w:rsidR="00C24EB8" w:rsidRPr="0003299E" w:rsidRDefault="001A5FB0" w:rsidP="00391350">
            <w:pPr>
              <w:jc w:val="both"/>
              <w:rPr>
                <w:rFonts w:cs="Arial"/>
                <w:spacing w:val="-2"/>
                <w:szCs w:val="22"/>
              </w:rPr>
            </w:pPr>
            <w:r w:rsidRPr="0003299E">
              <w:rPr>
                <w:rFonts w:cs="Arial"/>
                <w:b/>
                <w:sz w:val="20"/>
              </w:rPr>
              <w:t>Level 3</w:t>
            </w:r>
          </w:p>
        </w:tc>
        <w:tc>
          <w:tcPr>
            <w:tcW w:w="2065" w:type="dxa"/>
          </w:tcPr>
          <w:p w14:paraId="099F1676" w14:textId="77777777" w:rsidR="00C24EB8" w:rsidRPr="0003299E" w:rsidRDefault="001A5FB0" w:rsidP="00391350">
            <w:pPr>
              <w:jc w:val="both"/>
              <w:rPr>
                <w:rFonts w:cs="Arial"/>
                <w:spacing w:val="-2"/>
                <w:szCs w:val="22"/>
              </w:rPr>
            </w:pPr>
            <w:r w:rsidRPr="0003299E">
              <w:rPr>
                <w:rFonts w:cs="Arial"/>
                <w:b/>
                <w:sz w:val="20"/>
              </w:rPr>
              <w:t>Total</w:t>
            </w:r>
          </w:p>
        </w:tc>
      </w:tr>
      <w:tr w:rsidR="00C24EB8" w:rsidRPr="00D25DF8" w14:paraId="72C7ADEE" w14:textId="77777777" w:rsidTr="00C24EB8">
        <w:tc>
          <w:tcPr>
            <w:tcW w:w="3369" w:type="dxa"/>
          </w:tcPr>
          <w:p w14:paraId="63D2D642" w14:textId="77777777" w:rsidR="00C24EB8" w:rsidRPr="0003299E" w:rsidRDefault="001A5FB0" w:rsidP="00391350">
            <w:pPr>
              <w:tabs>
                <w:tab w:val="left" w:pos="0"/>
              </w:tabs>
              <w:rPr>
                <w:rFonts w:cs="Arial"/>
                <w:sz w:val="20"/>
                <w:u w:val="single"/>
              </w:rPr>
            </w:pPr>
            <w:r w:rsidRPr="0003299E">
              <w:rPr>
                <w:rFonts w:cs="Arial"/>
                <w:b/>
                <w:sz w:val="20"/>
              </w:rPr>
              <w:t xml:space="preserve">Assets </w:t>
            </w:r>
            <w:r w:rsidRPr="0003299E">
              <w:rPr>
                <w:rFonts w:cs="Arial"/>
                <w:sz w:val="20"/>
              </w:rPr>
              <w:t>(at fair value)</w:t>
            </w:r>
          </w:p>
          <w:p w14:paraId="2A729059" w14:textId="77777777" w:rsidR="00C24EB8" w:rsidRPr="0003299E" w:rsidRDefault="00C24EB8" w:rsidP="00391350">
            <w:pPr>
              <w:jc w:val="both"/>
              <w:rPr>
                <w:rFonts w:cs="Arial"/>
                <w:spacing w:val="-2"/>
                <w:szCs w:val="22"/>
              </w:rPr>
            </w:pPr>
          </w:p>
        </w:tc>
        <w:tc>
          <w:tcPr>
            <w:tcW w:w="1417" w:type="dxa"/>
          </w:tcPr>
          <w:p w14:paraId="08186F2B" w14:textId="77777777" w:rsidR="00C24EB8" w:rsidRPr="0003299E" w:rsidRDefault="00C24EB8" w:rsidP="00391350">
            <w:pPr>
              <w:jc w:val="both"/>
              <w:rPr>
                <w:rFonts w:cs="Arial"/>
                <w:spacing w:val="-2"/>
                <w:szCs w:val="22"/>
              </w:rPr>
            </w:pPr>
          </w:p>
        </w:tc>
        <w:tc>
          <w:tcPr>
            <w:tcW w:w="1409" w:type="dxa"/>
          </w:tcPr>
          <w:p w14:paraId="2C6D6704" w14:textId="77777777" w:rsidR="00C24EB8" w:rsidRPr="0003299E" w:rsidRDefault="00C24EB8" w:rsidP="00391350">
            <w:pPr>
              <w:jc w:val="both"/>
              <w:rPr>
                <w:rFonts w:cs="Arial"/>
                <w:spacing w:val="-2"/>
                <w:szCs w:val="22"/>
              </w:rPr>
            </w:pPr>
          </w:p>
        </w:tc>
        <w:tc>
          <w:tcPr>
            <w:tcW w:w="2065" w:type="dxa"/>
          </w:tcPr>
          <w:p w14:paraId="7C15C63D" w14:textId="77777777" w:rsidR="00C24EB8" w:rsidRPr="0003299E" w:rsidRDefault="00C24EB8" w:rsidP="00391350">
            <w:pPr>
              <w:jc w:val="both"/>
              <w:rPr>
                <w:rFonts w:cs="Arial"/>
                <w:spacing w:val="-2"/>
                <w:szCs w:val="22"/>
              </w:rPr>
            </w:pPr>
          </w:p>
        </w:tc>
        <w:tc>
          <w:tcPr>
            <w:tcW w:w="2065" w:type="dxa"/>
          </w:tcPr>
          <w:p w14:paraId="6A62FE6E" w14:textId="77777777" w:rsidR="00C24EB8" w:rsidRPr="0003299E" w:rsidRDefault="00C24EB8" w:rsidP="00391350">
            <w:pPr>
              <w:jc w:val="both"/>
              <w:rPr>
                <w:rFonts w:cs="Arial"/>
                <w:spacing w:val="-2"/>
                <w:szCs w:val="22"/>
              </w:rPr>
            </w:pPr>
          </w:p>
        </w:tc>
      </w:tr>
      <w:tr w:rsidR="00C24EB8" w:rsidRPr="00D25DF8" w14:paraId="7070D2A8" w14:textId="77777777" w:rsidTr="00C24EB8">
        <w:tc>
          <w:tcPr>
            <w:tcW w:w="3369" w:type="dxa"/>
          </w:tcPr>
          <w:p w14:paraId="716879D8" w14:textId="77777777" w:rsidR="00C24EB8" w:rsidRPr="0003299E" w:rsidRDefault="001A5FB0" w:rsidP="00391350">
            <w:pPr>
              <w:tabs>
                <w:tab w:val="left" w:pos="3240"/>
                <w:tab w:val="left" w:pos="3330"/>
                <w:tab w:val="left" w:pos="4770"/>
                <w:tab w:val="left" w:pos="7470"/>
              </w:tabs>
              <w:rPr>
                <w:rFonts w:cs="Arial"/>
                <w:i/>
                <w:sz w:val="20"/>
              </w:rPr>
            </w:pPr>
            <w:r w:rsidRPr="0003299E">
              <w:rPr>
                <w:rFonts w:cs="Arial"/>
                <w:i/>
                <w:sz w:val="20"/>
              </w:rPr>
              <w:t>Investments in securities</w:t>
            </w:r>
          </w:p>
          <w:p w14:paraId="5017535F" w14:textId="77777777" w:rsidR="00C24EB8" w:rsidRPr="0003299E" w:rsidRDefault="001A5FB0" w:rsidP="00391350">
            <w:pPr>
              <w:jc w:val="both"/>
              <w:rPr>
                <w:rFonts w:cs="Arial"/>
                <w:spacing w:val="-2"/>
                <w:szCs w:val="22"/>
              </w:rPr>
            </w:pPr>
            <w:r w:rsidRPr="0003299E">
              <w:rPr>
                <w:rFonts w:cs="Arial"/>
                <w:sz w:val="20"/>
              </w:rPr>
              <w:t>Investment in Master Fund</w:t>
            </w:r>
          </w:p>
        </w:tc>
        <w:tc>
          <w:tcPr>
            <w:tcW w:w="1417" w:type="dxa"/>
          </w:tcPr>
          <w:p w14:paraId="29E63FC0" w14:textId="77777777" w:rsidR="00C24EB8" w:rsidRPr="0003299E" w:rsidRDefault="00C24EB8" w:rsidP="00391350">
            <w:pPr>
              <w:jc w:val="center"/>
              <w:rPr>
                <w:rFonts w:cs="Arial"/>
                <w:sz w:val="20"/>
              </w:rPr>
            </w:pPr>
          </w:p>
          <w:p w14:paraId="0128733C" w14:textId="7E094CDB" w:rsidR="00C24EB8" w:rsidRPr="0003299E" w:rsidRDefault="001A5FB0" w:rsidP="00391350">
            <w:pPr>
              <w:jc w:val="center"/>
              <w:rPr>
                <w:rFonts w:cs="Arial"/>
                <w:spacing w:val="-2"/>
                <w:szCs w:val="22"/>
              </w:rPr>
            </w:pPr>
            <w:r w:rsidRPr="0003299E">
              <w:rPr>
                <w:rFonts w:cs="Arial"/>
                <w:sz w:val="20"/>
              </w:rPr>
              <w:t xml:space="preserve"> -</w:t>
            </w:r>
          </w:p>
        </w:tc>
        <w:tc>
          <w:tcPr>
            <w:tcW w:w="1409" w:type="dxa"/>
          </w:tcPr>
          <w:p w14:paraId="07D9670B" w14:textId="77777777" w:rsidR="00C24EB8" w:rsidRPr="0003299E" w:rsidRDefault="00C24EB8" w:rsidP="00391350">
            <w:pPr>
              <w:jc w:val="center"/>
              <w:rPr>
                <w:rFonts w:cs="Arial"/>
                <w:sz w:val="20"/>
              </w:rPr>
            </w:pPr>
          </w:p>
          <w:p w14:paraId="3A52C4D9" w14:textId="45D65EA0" w:rsidR="00C24EB8" w:rsidRPr="0003299E" w:rsidRDefault="001A5FB0" w:rsidP="00391350">
            <w:pPr>
              <w:jc w:val="center"/>
              <w:rPr>
                <w:rFonts w:cs="Arial"/>
                <w:spacing w:val="-2"/>
                <w:szCs w:val="22"/>
              </w:rPr>
            </w:pPr>
            <w:r w:rsidRPr="0003299E">
              <w:rPr>
                <w:rFonts w:cs="Arial"/>
                <w:sz w:val="20"/>
              </w:rPr>
              <w:t xml:space="preserve"> -</w:t>
            </w:r>
          </w:p>
        </w:tc>
        <w:tc>
          <w:tcPr>
            <w:tcW w:w="2065" w:type="dxa"/>
          </w:tcPr>
          <w:p w14:paraId="1456927D" w14:textId="77777777" w:rsidR="00C24EB8" w:rsidRPr="0003299E" w:rsidRDefault="00C24EB8" w:rsidP="00391350">
            <w:pPr>
              <w:jc w:val="both"/>
              <w:rPr>
                <w:rFonts w:cs="Arial"/>
                <w:sz w:val="20"/>
              </w:rPr>
            </w:pPr>
          </w:p>
          <w:p w14:paraId="583E7284" w14:textId="4B9AD5B0" w:rsidR="00B23E41" w:rsidRPr="0003299E" w:rsidRDefault="001A5FB0" w:rsidP="0003299E">
            <w:pPr>
              <w:jc w:val="both"/>
              <w:rPr>
                <w:rFonts w:cs="Arial"/>
                <w:spacing w:val="-2"/>
                <w:szCs w:val="22"/>
              </w:rPr>
            </w:pPr>
            <w:r w:rsidRPr="0003299E">
              <w:rPr>
                <w:rFonts w:cs="Arial"/>
                <w:sz w:val="20"/>
              </w:rPr>
              <w:t>$</w:t>
            </w:r>
            <w:r w:rsidR="0003299E" w:rsidRPr="0003299E">
              <w:rPr>
                <w:rFonts w:cs="Arial"/>
                <w:sz w:val="20"/>
              </w:rPr>
              <w:t>347,516,987</w:t>
            </w:r>
          </w:p>
        </w:tc>
        <w:tc>
          <w:tcPr>
            <w:tcW w:w="2065" w:type="dxa"/>
          </w:tcPr>
          <w:p w14:paraId="6EBC1920" w14:textId="77777777" w:rsidR="00C24EB8" w:rsidRPr="0003299E" w:rsidRDefault="00C24EB8" w:rsidP="00391350">
            <w:pPr>
              <w:jc w:val="both"/>
              <w:rPr>
                <w:rFonts w:cs="Arial"/>
                <w:sz w:val="20"/>
              </w:rPr>
            </w:pPr>
          </w:p>
          <w:p w14:paraId="411CE566" w14:textId="2A2A03F0" w:rsidR="00C24EB8" w:rsidRPr="0003299E" w:rsidRDefault="001A5FB0" w:rsidP="00391350">
            <w:pPr>
              <w:jc w:val="both"/>
              <w:rPr>
                <w:rFonts w:cs="Arial"/>
                <w:sz w:val="20"/>
              </w:rPr>
            </w:pPr>
            <w:r w:rsidRPr="0003299E">
              <w:rPr>
                <w:rFonts w:cs="Arial"/>
                <w:sz w:val="20"/>
              </w:rPr>
              <w:t>$</w:t>
            </w:r>
            <w:r w:rsidR="0003299E" w:rsidRPr="0003299E">
              <w:rPr>
                <w:rFonts w:cs="Arial"/>
                <w:sz w:val="20"/>
              </w:rPr>
              <w:t xml:space="preserve">347,516,987   </w:t>
            </w:r>
          </w:p>
          <w:p w14:paraId="0C994ECD" w14:textId="77777777" w:rsidR="00C24EB8" w:rsidRPr="0003299E" w:rsidRDefault="00C24EB8" w:rsidP="00391350">
            <w:pPr>
              <w:jc w:val="both"/>
              <w:rPr>
                <w:rFonts w:cs="Arial"/>
                <w:spacing w:val="-2"/>
                <w:szCs w:val="22"/>
              </w:rPr>
            </w:pPr>
          </w:p>
        </w:tc>
      </w:tr>
      <w:tr w:rsidR="00C24EB8" w:rsidRPr="00D25DF8" w14:paraId="695EA2F0" w14:textId="77777777" w:rsidTr="00C24EB8">
        <w:tc>
          <w:tcPr>
            <w:tcW w:w="3369" w:type="dxa"/>
          </w:tcPr>
          <w:p w14:paraId="334E5C1C" w14:textId="77777777" w:rsidR="00C24EB8" w:rsidRPr="0003299E" w:rsidRDefault="001A5FB0" w:rsidP="00391350">
            <w:pPr>
              <w:jc w:val="both"/>
              <w:rPr>
                <w:rFonts w:cs="Arial"/>
                <w:spacing w:val="-2"/>
                <w:szCs w:val="22"/>
              </w:rPr>
            </w:pPr>
            <w:r w:rsidRPr="0003299E">
              <w:rPr>
                <w:rFonts w:cs="Arial"/>
                <w:b/>
                <w:sz w:val="20"/>
              </w:rPr>
              <w:t>Total Investments in securities</w:t>
            </w:r>
          </w:p>
        </w:tc>
        <w:tc>
          <w:tcPr>
            <w:tcW w:w="1417" w:type="dxa"/>
          </w:tcPr>
          <w:p w14:paraId="6030795C" w14:textId="28E5D958" w:rsidR="00C24EB8" w:rsidRPr="0003299E" w:rsidRDefault="001A5FB0" w:rsidP="00391350">
            <w:pPr>
              <w:jc w:val="center"/>
              <w:rPr>
                <w:rFonts w:cs="Arial"/>
                <w:spacing w:val="-2"/>
                <w:szCs w:val="22"/>
              </w:rPr>
            </w:pPr>
            <w:r w:rsidRPr="0003299E">
              <w:rPr>
                <w:rFonts w:cs="Arial"/>
                <w:sz w:val="20"/>
              </w:rPr>
              <w:t xml:space="preserve"> -</w:t>
            </w:r>
          </w:p>
        </w:tc>
        <w:tc>
          <w:tcPr>
            <w:tcW w:w="1409" w:type="dxa"/>
          </w:tcPr>
          <w:p w14:paraId="3EAC9A6F" w14:textId="14CFBF91" w:rsidR="00C24EB8" w:rsidRPr="0003299E" w:rsidRDefault="001A5FB0" w:rsidP="00391350">
            <w:pPr>
              <w:jc w:val="center"/>
              <w:rPr>
                <w:rFonts w:cs="Arial"/>
                <w:spacing w:val="-2"/>
                <w:szCs w:val="22"/>
              </w:rPr>
            </w:pPr>
            <w:r w:rsidRPr="0003299E">
              <w:rPr>
                <w:rFonts w:cs="Arial"/>
                <w:sz w:val="20"/>
              </w:rPr>
              <w:t xml:space="preserve"> -</w:t>
            </w:r>
          </w:p>
        </w:tc>
        <w:tc>
          <w:tcPr>
            <w:tcW w:w="2065" w:type="dxa"/>
          </w:tcPr>
          <w:p w14:paraId="7EAD7042" w14:textId="277AD611" w:rsidR="00C24EB8" w:rsidRPr="0003299E" w:rsidRDefault="001A5FB0" w:rsidP="00391350">
            <w:pPr>
              <w:jc w:val="both"/>
              <w:rPr>
                <w:rFonts w:cs="Arial"/>
                <w:spacing w:val="-2"/>
                <w:szCs w:val="22"/>
              </w:rPr>
            </w:pPr>
            <w:r w:rsidRPr="0003299E">
              <w:rPr>
                <w:rFonts w:cs="Arial"/>
                <w:sz w:val="20"/>
              </w:rPr>
              <w:t>$</w:t>
            </w:r>
            <w:r w:rsidR="0003299E" w:rsidRPr="0003299E">
              <w:rPr>
                <w:rFonts w:cs="Arial"/>
                <w:sz w:val="20"/>
              </w:rPr>
              <w:t xml:space="preserve">347,516,987 </w:t>
            </w:r>
          </w:p>
        </w:tc>
        <w:tc>
          <w:tcPr>
            <w:tcW w:w="2065" w:type="dxa"/>
          </w:tcPr>
          <w:p w14:paraId="5EB88F4F" w14:textId="0C4C0153" w:rsidR="00C24EB8" w:rsidRPr="0003299E" w:rsidRDefault="001A5FB0" w:rsidP="00391350">
            <w:pPr>
              <w:jc w:val="both"/>
              <w:rPr>
                <w:rFonts w:cs="Arial"/>
                <w:spacing w:val="-2"/>
                <w:szCs w:val="22"/>
              </w:rPr>
            </w:pPr>
            <w:r w:rsidRPr="0003299E">
              <w:rPr>
                <w:rFonts w:cs="Arial"/>
                <w:sz w:val="20"/>
              </w:rPr>
              <w:t>$</w:t>
            </w:r>
            <w:r w:rsidR="0067084F">
              <w:rPr>
                <w:rFonts w:cs="Arial"/>
                <w:sz w:val="20"/>
              </w:rPr>
              <w:t>347,516,987</w:t>
            </w:r>
          </w:p>
        </w:tc>
      </w:tr>
    </w:tbl>
    <w:p w14:paraId="6E9DB7D6" w14:textId="77777777" w:rsidR="00C24EB8" w:rsidRPr="0003299E" w:rsidRDefault="00C24EB8" w:rsidP="00391350">
      <w:pPr>
        <w:jc w:val="both"/>
        <w:rPr>
          <w:rFonts w:cs="Arial"/>
          <w:spacing w:val="-2"/>
          <w:szCs w:val="22"/>
        </w:rPr>
      </w:pPr>
    </w:p>
    <w:p w14:paraId="33A2871A" w14:textId="616E714E" w:rsidR="00B23E41" w:rsidRPr="00261BD5" w:rsidRDefault="001A5FB0" w:rsidP="00391350">
      <w:pPr>
        <w:widowControl w:val="0"/>
        <w:autoSpaceDE w:val="0"/>
        <w:autoSpaceDN w:val="0"/>
        <w:adjustRightInd w:val="0"/>
        <w:spacing w:after="240"/>
        <w:rPr>
          <w:rFonts w:cs="Arial"/>
          <w:i/>
          <w:spacing w:val="-2"/>
          <w:sz w:val="20"/>
        </w:rPr>
      </w:pPr>
      <w:r w:rsidRPr="00261BD5">
        <w:rPr>
          <w:rFonts w:cs="Arial"/>
          <w:i/>
          <w:sz w:val="20"/>
        </w:rPr>
        <w:t>Year</w:t>
      </w:r>
      <w:r w:rsidR="00591815" w:rsidRPr="00261BD5">
        <w:rPr>
          <w:rFonts w:cs="Arial"/>
          <w:i/>
          <w:sz w:val="20"/>
        </w:rPr>
        <w:t xml:space="preserve"> ended 31 December 201</w:t>
      </w:r>
      <w:r w:rsidR="0003299E" w:rsidRPr="00261BD5">
        <w:rPr>
          <w:rFonts w:cs="Arial"/>
          <w:i/>
          <w:sz w:val="20"/>
        </w:rPr>
        <w:t>4</w:t>
      </w:r>
    </w:p>
    <w:tbl>
      <w:tblPr>
        <w:tblW w:w="0" w:type="auto"/>
        <w:tblLook w:val="00A0" w:firstRow="1" w:lastRow="0" w:firstColumn="1" w:lastColumn="0" w:noHBand="0" w:noVBand="0"/>
      </w:tblPr>
      <w:tblGrid>
        <w:gridCol w:w="3369"/>
        <w:gridCol w:w="1417"/>
        <w:gridCol w:w="1409"/>
        <w:gridCol w:w="2065"/>
        <w:gridCol w:w="2065"/>
      </w:tblGrid>
      <w:tr w:rsidR="00556FE6" w:rsidRPr="0003299E" w14:paraId="230522D0" w14:textId="77777777" w:rsidTr="00A57939">
        <w:tc>
          <w:tcPr>
            <w:tcW w:w="3369" w:type="dxa"/>
          </w:tcPr>
          <w:p w14:paraId="7D25BBBF" w14:textId="77777777" w:rsidR="00556FE6" w:rsidRPr="0003299E" w:rsidRDefault="00556FE6" w:rsidP="00391350">
            <w:pPr>
              <w:jc w:val="both"/>
              <w:rPr>
                <w:rFonts w:cs="Arial"/>
                <w:spacing w:val="-2"/>
                <w:szCs w:val="22"/>
              </w:rPr>
            </w:pPr>
          </w:p>
        </w:tc>
        <w:tc>
          <w:tcPr>
            <w:tcW w:w="1417" w:type="dxa"/>
          </w:tcPr>
          <w:p w14:paraId="2BA07D48" w14:textId="77777777" w:rsidR="00556FE6" w:rsidRPr="0003299E" w:rsidRDefault="001A5FB0" w:rsidP="00391350">
            <w:pPr>
              <w:jc w:val="both"/>
              <w:rPr>
                <w:rFonts w:cs="Arial"/>
                <w:spacing w:val="-2"/>
                <w:szCs w:val="22"/>
              </w:rPr>
            </w:pPr>
            <w:r w:rsidRPr="0003299E">
              <w:rPr>
                <w:rFonts w:cs="Arial"/>
                <w:b/>
                <w:sz w:val="20"/>
              </w:rPr>
              <w:t>Level 1</w:t>
            </w:r>
            <w:r w:rsidRPr="0003299E">
              <w:rPr>
                <w:rFonts w:cs="Arial"/>
                <w:b/>
                <w:sz w:val="20"/>
              </w:rPr>
              <w:tab/>
            </w:r>
          </w:p>
        </w:tc>
        <w:tc>
          <w:tcPr>
            <w:tcW w:w="1409" w:type="dxa"/>
          </w:tcPr>
          <w:p w14:paraId="46F30667" w14:textId="77777777" w:rsidR="00556FE6" w:rsidRPr="0003299E" w:rsidRDefault="001A5FB0" w:rsidP="00391350">
            <w:pPr>
              <w:jc w:val="both"/>
              <w:rPr>
                <w:rFonts w:cs="Arial"/>
                <w:spacing w:val="-2"/>
                <w:szCs w:val="22"/>
              </w:rPr>
            </w:pPr>
            <w:r w:rsidRPr="0003299E">
              <w:rPr>
                <w:rFonts w:cs="Arial"/>
                <w:b/>
                <w:sz w:val="20"/>
              </w:rPr>
              <w:t>Level 2</w:t>
            </w:r>
          </w:p>
        </w:tc>
        <w:tc>
          <w:tcPr>
            <w:tcW w:w="2065" w:type="dxa"/>
          </w:tcPr>
          <w:p w14:paraId="74496FB0" w14:textId="77777777" w:rsidR="00556FE6" w:rsidRPr="0003299E" w:rsidRDefault="001A5FB0" w:rsidP="00391350">
            <w:pPr>
              <w:jc w:val="both"/>
              <w:rPr>
                <w:rFonts w:cs="Arial"/>
                <w:spacing w:val="-2"/>
                <w:szCs w:val="22"/>
              </w:rPr>
            </w:pPr>
            <w:r w:rsidRPr="0003299E">
              <w:rPr>
                <w:rFonts w:cs="Arial"/>
                <w:b/>
                <w:sz w:val="20"/>
              </w:rPr>
              <w:t>Level 3</w:t>
            </w:r>
          </w:p>
        </w:tc>
        <w:tc>
          <w:tcPr>
            <w:tcW w:w="2065" w:type="dxa"/>
          </w:tcPr>
          <w:p w14:paraId="404E9DB6" w14:textId="77777777" w:rsidR="00556FE6" w:rsidRPr="0003299E" w:rsidRDefault="001A5FB0" w:rsidP="00391350">
            <w:pPr>
              <w:jc w:val="both"/>
              <w:rPr>
                <w:rFonts w:cs="Arial"/>
                <w:spacing w:val="-2"/>
                <w:szCs w:val="22"/>
              </w:rPr>
            </w:pPr>
            <w:r w:rsidRPr="0003299E">
              <w:rPr>
                <w:rFonts w:cs="Arial"/>
                <w:b/>
                <w:sz w:val="20"/>
              </w:rPr>
              <w:t>Total</w:t>
            </w:r>
          </w:p>
        </w:tc>
      </w:tr>
      <w:tr w:rsidR="00556FE6" w:rsidRPr="0003299E" w14:paraId="7D7AC0E1" w14:textId="77777777" w:rsidTr="00A57939">
        <w:tc>
          <w:tcPr>
            <w:tcW w:w="3369" w:type="dxa"/>
          </w:tcPr>
          <w:p w14:paraId="17155B49" w14:textId="77777777" w:rsidR="00556FE6" w:rsidRPr="0003299E" w:rsidRDefault="001A5FB0" w:rsidP="00391350">
            <w:pPr>
              <w:tabs>
                <w:tab w:val="left" w:pos="0"/>
              </w:tabs>
              <w:rPr>
                <w:rFonts w:cs="Arial"/>
                <w:sz w:val="20"/>
                <w:u w:val="single"/>
              </w:rPr>
            </w:pPr>
            <w:r w:rsidRPr="0003299E">
              <w:rPr>
                <w:rFonts w:cs="Arial"/>
                <w:b/>
                <w:sz w:val="20"/>
              </w:rPr>
              <w:t xml:space="preserve">Assets </w:t>
            </w:r>
            <w:r w:rsidRPr="0003299E">
              <w:rPr>
                <w:rFonts w:cs="Arial"/>
                <w:sz w:val="20"/>
              </w:rPr>
              <w:t>(at fair value)</w:t>
            </w:r>
          </w:p>
          <w:p w14:paraId="295BAB34" w14:textId="77777777" w:rsidR="00556FE6" w:rsidRPr="0003299E" w:rsidRDefault="00556FE6" w:rsidP="00391350">
            <w:pPr>
              <w:jc w:val="both"/>
              <w:rPr>
                <w:rFonts w:cs="Arial"/>
                <w:spacing w:val="-2"/>
                <w:szCs w:val="22"/>
              </w:rPr>
            </w:pPr>
          </w:p>
        </w:tc>
        <w:tc>
          <w:tcPr>
            <w:tcW w:w="1417" w:type="dxa"/>
          </w:tcPr>
          <w:p w14:paraId="3CC3BFC2" w14:textId="77777777" w:rsidR="00556FE6" w:rsidRPr="0003299E" w:rsidRDefault="00556FE6" w:rsidP="00391350">
            <w:pPr>
              <w:jc w:val="both"/>
              <w:rPr>
                <w:rFonts w:cs="Arial"/>
                <w:spacing w:val="-2"/>
                <w:szCs w:val="22"/>
              </w:rPr>
            </w:pPr>
          </w:p>
        </w:tc>
        <w:tc>
          <w:tcPr>
            <w:tcW w:w="1409" w:type="dxa"/>
          </w:tcPr>
          <w:p w14:paraId="3CA05576" w14:textId="77777777" w:rsidR="00556FE6" w:rsidRPr="0003299E" w:rsidRDefault="00556FE6" w:rsidP="00391350">
            <w:pPr>
              <w:jc w:val="both"/>
              <w:rPr>
                <w:rFonts w:cs="Arial"/>
                <w:spacing w:val="-2"/>
                <w:szCs w:val="22"/>
              </w:rPr>
            </w:pPr>
          </w:p>
        </w:tc>
        <w:tc>
          <w:tcPr>
            <w:tcW w:w="2065" w:type="dxa"/>
          </w:tcPr>
          <w:p w14:paraId="6DFB5D7E" w14:textId="77777777" w:rsidR="00556FE6" w:rsidRPr="0003299E" w:rsidRDefault="00556FE6" w:rsidP="00391350">
            <w:pPr>
              <w:jc w:val="both"/>
              <w:rPr>
                <w:rFonts w:cs="Arial"/>
                <w:spacing w:val="-2"/>
                <w:szCs w:val="22"/>
              </w:rPr>
            </w:pPr>
          </w:p>
        </w:tc>
        <w:tc>
          <w:tcPr>
            <w:tcW w:w="2065" w:type="dxa"/>
          </w:tcPr>
          <w:p w14:paraId="5F3E8B81" w14:textId="77777777" w:rsidR="00556FE6" w:rsidRPr="0003299E" w:rsidRDefault="00556FE6" w:rsidP="00391350">
            <w:pPr>
              <w:jc w:val="both"/>
              <w:rPr>
                <w:rFonts w:cs="Arial"/>
                <w:spacing w:val="-2"/>
                <w:szCs w:val="22"/>
              </w:rPr>
            </w:pPr>
          </w:p>
        </w:tc>
      </w:tr>
      <w:tr w:rsidR="00556FE6" w:rsidRPr="0003299E" w14:paraId="17451FFC" w14:textId="77777777" w:rsidTr="00A57939">
        <w:tc>
          <w:tcPr>
            <w:tcW w:w="3369" w:type="dxa"/>
          </w:tcPr>
          <w:p w14:paraId="694682F4" w14:textId="77777777" w:rsidR="00556FE6" w:rsidRPr="0003299E" w:rsidRDefault="001A5FB0" w:rsidP="00391350">
            <w:pPr>
              <w:tabs>
                <w:tab w:val="left" w:pos="3240"/>
                <w:tab w:val="left" w:pos="3330"/>
                <w:tab w:val="left" w:pos="4770"/>
                <w:tab w:val="left" w:pos="7470"/>
              </w:tabs>
              <w:rPr>
                <w:rFonts w:cs="Arial"/>
                <w:i/>
                <w:sz w:val="20"/>
              </w:rPr>
            </w:pPr>
            <w:r w:rsidRPr="0003299E">
              <w:rPr>
                <w:rFonts w:cs="Arial"/>
                <w:i/>
                <w:sz w:val="20"/>
              </w:rPr>
              <w:t>Investments in securities</w:t>
            </w:r>
          </w:p>
          <w:p w14:paraId="511AB75C" w14:textId="77777777" w:rsidR="00556FE6" w:rsidRPr="0003299E" w:rsidRDefault="001A5FB0" w:rsidP="00391350">
            <w:pPr>
              <w:jc w:val="both"/>
              <w:rPr>
                <w:rFonts w:cs="Arial"/>
                <w:spacing w:val="-2"/>
                <w:szCs w:val="22"/>
              </w:rPr>
            </w:pPr>
            <w:r w:rsidRPr="0003299E">
              <w:rPr>
                <w:rFonts w:cs="Arial"/>
                <w:sz w:val="20"/>
              </w:rPr>
              <w:t>Investment in Master Fund</w:t>
            </w:r>
          </w:p>
        </w:tc>
        <w:tc>
          <w:tcPr>
            <w:tcW w:w="1417" w:type="dxa"/>
          </w:tcPr>
          <w:p w14:paraId="08F933C5" w14:textId="77777777" w:rsidR="00556FE6" w:rsidRPr="0003299E" w:rsidRDefault="00556FE6" w:rsidP="00391350">
            <w:pPr>
              <w:jc w:val="center"/>
              <w:rPr>
                <w:rFonts w:cs="Arial"/>
                <w:sz w:val="20"/>
              </w:rPr>
            </w:pPr>
          </w:p>
          <w:p w14:paraId="5B43BCE5" w14:textId="1D9CA918" w:rsidR="00556FE6" w:rsidRPr="0003299E" w:rsidRDefault="001A5FB0" w:rsidP="00391350">
            <w:pPr>
              <w:jc w:val="center"/>
              <w:rPr>
                <w:rFonts w:cs="Arial"/>
                <w:spacing w:val="-2"/>
                <w:szCs w:val="22"/>
              </w:rPr>
            </w:pPr>
            <w:r w:rsidRPr="0003299E">
              <w:rPr>
                <w:rFonts w:cs="Arial"/>
                <w:sz w:val="20"/>
              </w:rPr>
              <w:t xml:space="preserve"> -</w:t>
            </w:r>
          </w:p>
        </w:tc>
        <w:tc>
          <w:tcPr>
            <w:tcW w:w="1409" w:type="dxa"/>
          </w:tcPr>
          <w:p w14:paraId="50B27D19" w14:textId="77777777" w:rsidR="00556FE6" w:rsidRPr="0003299E" w:rsidRDefault="00556FE6" w:rsidP="00391350">
            <w:pPr>
              <w:jc w:val="center"/>
              <w:rPr>
                <w:rFonts w:cs="Arial"/>
                <w:sz w:val="20"/>
              </w:rPr>
            </w:pPr>
          </w:p>
          <w:p w14:paraId="6A76151A" w14:textId="1E0FB94A" w:rsidR="00556FE6" w:rsidRPr="0003299E" w:rsidRDefault="001A5FB0" w:rsidP="00391350">
            <w:pPr>
              <w:jc w:val="center"/>
              <w:rPr>
                <w:rFonts w:cs="Arial"/>
                <w:spacing w:val="-2"/>
                <w:szCs w:val="22"/>
              </w:rPr>
            </w:pPr>
            <w:r w:rsidRPr="0003299E">
              <w:rPr>
                <w:rFonts w:cs="Arial"/>
                <w:sz w:val="20"/>
              </w:rPr>
              <w:t xml:space="preserve"> -</w:t>
            </w:r>
          </w:p>
        </w:tc>
        <w:tc>
          <w:tcPr>
            <w:tcW w:w="2065" w:type="dxa"/>
          </w:tcPr>
          <w:p w14:paraId="4F146B4C" w14:textId="77777777" w:rsidR="00556FE6" w:rsidRPr="0003299E" w:rsidRDefault="00556FE6" w:rsidP="00391350">
            <w:pPr>
              <w:jc w:val="both"/>
              <w:rPr>
                <w:rFonts w:cs="Arial"/>
                <w:sz w:val="20"/>
              </w:rPr>
            </w:pPr>
          </w:p>
          <w:p w14:paraId="5D652F2E" w14:textId="498B59DC" w:rsidR="00B23E41" w:rsidRPr="0003299E" w:rsidRDefault="00591815" w:rsidP="0003299E">
            <w:pPr>
              <w:jc w:val="both"/>
              <w:rPr>
                <w:rFonts w:cs="Arial"/>
                <w:spacing w:val="-2"/>
                <w:szCs w:val="22"/>
              </w:rPr>
            </w:pPr>
            <w:r w:rsidRPr="0003299E">
              <w:rPr>
                <w:rFonts w:cs="Arial"/>
                <w:sz w:val="20"/>
              </w:rPr>
              <w:t>$</w:t>
            </w:r>
            <w:r w:rsidR="0003299E" w:rsidRPr="0003299E">
              <w:rPr>
                <w:rFonts w:cs="Arial"/>
                <w:sz w:val="20"/>
              </w:rPr>
              <w:t>363,800,160</w:t>
            </w:r>
            <w:r w:rsidRPr="0003299E">
              <w:rPr>
                <w:rFonts w:cs="Arial"/>
                <w:sz w:val="20"/>
              </w:rPr>
              <w:t xml:space="preserve"> </w:t>
            </w:r>
          </w:p>
        </w:tc>
        <w:tc>
          <w:tcPr>
            <w:tcW w:w="2065" w:type="dxa"/>
          </w:tcPr>
          <w:p w14:paraId="0DCFD91F" w14:textId="77777777" w:rsidR="00556FE6" w:rsidRPr="0003299E" w:rsidRDefault="00556FE6" w:rsidP="00391350">
            <w:pPr>
              <w:jc w:val="both"/>
              <w:rPr>
                <w:rFonts w:cs="Arial"/>
                <w:sz w:val="20"/>
              </w:rPr>
            </w:pPr>
          </w:p>
          <w:p w14:paraId="79C932D4" w14:textId="39FB4353" w:rsidR="00591815" w:rsidRPr="0003299E" w:rsidRDefault="00591815" w:rsidP="00391350">
            <w:pPr>
              <w:jc w:val="both"/>
              <w:rPr>
                <w:rFonts w:cs="Arial"/>
                <w:sz w:val="20"/>
              </w:rPr>
            </w:pPr>
            <w:r w:rsidRPr="0003299E">
              <w:rPr>
                <w:rFonts w:cs="Arial"/>
                <w:sz w:val="20"/>
              </w:rPr>
              <w:t>$</w:t>
            </w:r>
            <w:r w:rsidR="0003299E" w:rsidRPr="0003299E">
              <w:rPr>
                <w:rFonts w:cs="Arial"/>
                <w:sz w:val="20"/>
              </w:rPr>
              <w:t xml:space="preserve">363,800,160   </w:t>
            </w:r>
          </w:p>
          <w:p w14:paraId="36AFF48A" w14:textId="77777777" w:rsidR="00556FE6" w:rsidRPr="0003299E" w:rsidRDefault="00556FE6" w:rsidP="00391350">
            <w:pPr>
              <w:jc w:val="both"/>
              <w:rPr>
                <w:rFonts w:cs="Arial"/>
                <w:spacing w:val="-2"/>
                <w:szCs w:val="22"/>
              </w:rPr>
            </w:pPr>
          </w:p>
        </w:tc>
      </w:tr>
      <w:tr w:rsidR="00556FE6" w:rsidRPr="0003299E" w14:paraId="7CB38AD8" w14:textId="77777777" w:rsidTr="00A57939">
        <w:tc>
          <w:tcPr>
            <w:tcW w:w="3369" w:type="dxa"/>
          </w:tcPr>
          <w:p w14:paraId="51E8D5D2" w14:textId="77777777" w:rsidR="00556FE6" w:rsidRPr="0003299E" w:rsidRDefault="001A5FB0" w:rsidP="00391350">
            <w:pPr>
              <w:jc w:val="both"/>
              <w:rPr>
                <w:rFonts w:cs="Arial"/>
                <w:spacing w:val="-2"/>
                <w:szCs w:val="22"/>
              </w:rPr>
            </w:pPr>
            <w:r w:rsidRPr="0003299E">
              <w:rPr>
                <w:rFonts w:cs="Arial"/>
                <w:b/>
                <w:sz w:val="20"/>
              </w:rPr>
              <w:t>Total Investments in securities</w:t>
            </w:r>
          </w:p>
        </w:tc>
        <w:tc>
          <w:tcPr>
            <w:tcW w:w="1417" w:type="dxa"/>
          </w:tcPr>
          <w:p w14:paraId="6C5FB9DF" w14:textId="77529779" w:rsidR="00556FE6" w:rsidRPr="0003299E" w:rsidRDefault="001A5FB0" w:rsidP="00391350">
            <w:pPr>
              <w:jc w:val="center"/>
              <w:rPr>
                <w:rFonts w:cs="Arial"/>
                <w:spacing w:val="-2"/>
                <w:szCs w:val="22"/>
              </w:rPr>
            </w:pPr>
            <w:r w:rsidRPr="0003299E">
              <w:rPr>
                <w:rFonts w:cs="Arial"/>
                <w:sz w:val="20"/>
              </w:rPr>
              <w:t xml:space="preserve"> -</w:t>
            </w:r>
          </w:p>
        </w:tc>
        <w:tc>
          <w:tcPr>
            <w:tcW w:w="1409" w:type="dxa"/>
          </w:tcPr>
          <w:p w14:paraId="2F6A7F06" w14:textId="3689F25F" w:rsidR="00556FE6" w:rsidRPr="0003299E" w:rsidRDefault="001A5FB0" w:rsidP="00391350">
            <w:pPr>
              <w:jc w:val="center"/>
              <w:rPr>
                <w:rFonts w:cs="Arial"/>
                <w:spacing w:val="-2"/>
                <w:szCs w:val="22"/>
              </w:rPr>
            </w:pPr>
            <w:r w:rsidRPr="0003299E">
              <w:rPr>
                <w:rFonts w:cs="Arial"/>
                <w:sz w:val="20"/>
              </w:rPr>
              <w:t xml:space="preserve"> -</w:t>
            </w:r>
          </w:p>
        </w:tc>
        <w:tc>
          <w:tcPr>
            <w:tcW w:w="2065" w:type="dxa"/>
          </w:tcPr>
          <w:p w14:paraId="2397C8F2" w14:textId="37B3BB2A" w:rsidR="00556FE6" w:rsidRPr="0003299E" w:rsidRDefault="00591815" w:rsidP="00391350">
            <w:pPr>
              <w:jc w:val="both"/>
              <w:rPr>
                <w:rFonts w:cs="Arial"/>
                <w:spacing w:val="-2"/>
                <w:szCs w:val="22"/>
              </w:rPr>
            </w:pPr>
            <w:r w:rsidRPr="0003299E">
              <w:rPr>
                <w:rFonts w:cs="Arial"/>
                <w:sz w:val="20"/>
              </w:rPr>
              <w:t>$</w:t>
            </w:r>
            <w:r w:rsidR="0003299E" w:rsidRPr="0003299E">
              <w:rPr>
                <w:rFonts w:cs="Arial"/>
                <w:sz w:val="20"/>
              </w:rPr>
              <w:t>363,800,160</w:t>
            </w:r>
          </w:p>
        </w:tc>
        <w:tc>
          <w:tcPr>
            <w:tcW w:w="2065" w:type="dxa"/>
          </w:tcPr>
          <w:p w14:paraId="1104B57F" w14:textId="417458AE" w:rsidR="00556FE6" w:rsidRPr="0003299E" w:rsidRDefault="00591815" w:rsidP="00391350">
            <w:pPr>
              <w:jc w:val="both"/>
              <w:rPr>
                <w:rFonts w:cs="Arial"/>
                <w:spacing w:val="-2"/>
                <w:szCs w:val="22"/>
              </w:rPr>
            </w:pPr>
            <w:r w:rsidRPr="0003299E">
              <w:rPr>
                <w:rFonts w:cs="Arial"/>
                <w:sz w:val="20"/>
              </w:rPr>
              <w:t>$</w:t>
            </w:r>
            <w:r w:rsidR="0067084F">
              <w:rPr>
                <w:rFonts w:cs="Arial"/>
                <w:sz w:val="20"/>
              </w:rPr>
              <w:t xml:space="preserve">363,800,160 </w:t>
            </w:r>
          </w:p>
        </w:tc>
      </w:tr>
    </w:tbl>
    <w:p w14:paraId="0EE28C23" w14:textId="77777777" w:rsidR="00556FE6" w:rsidRPr="00D25DF8" w:rsidRDefault="00556FE6" w:rsidP="00391350">
      <w:pPr>
        <w:jc w:val="both"/>
        <w:rPr>
          <w:rFonts w:cs="Arial"/>
          <w:color w:val="FF0000"/>
          <w:spacing w:val="-2"/>
          <w:szCs w:val="22"/>
        </w:rPr>
      </w:pPr>
    </w:p>
    <w:p w14:paraId="2426E45F" w14:textId="77777777" w:rsidR="00F40C87" w:rsidRPr="003C5DA7" w:rsidRDefault="001A5FB0" w:rsidP="00261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91"/>
        <w:contextualSpacing/>
        <w:jc w:val="both"/>
        <w:rPr>
          <w:rFonts w:cs="Arial"/>
          <w:szCs w:val="22"/>
        </w:rPr>
      </w:pPr>
      <w:r w:rsidRPr="003C5DA7">
        <w:rPr>
          <w:rFonts w:cs="Arial"/>
          <w:szCs w:val="22"/>
        </w:rPr>
        <w:t>Transfers between Levels 1 and 2 generally relate to whether a market becomes active or inactive. Transfers between Levels 2 and 3 generally relate to whether significant relevant observable inputs are available for the fair value measurements in their entirety. See Note 1 for additional information related to the fair value hierarchy and valuation techniques and inputs. All transfers are recognised by the Company at the end of each reporting period.</w:t>
      </w:r>
    </w:p>
    <w:p w14:paraId="0313D932" w14:textId="77777777" w:rsidR="00F40C87" w:rsidRPr="003C5DA7" w:rsidRDefault="00F40C87" w:rsidP="00261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91"/>
        <w:contextualSpacing/>
        <w:jc w:val="both"/>
        <w:rPr>
          <w:rFonts w:cs="Arial"/>
          <w:szCs w:val="22"/>
        </w:rPr>
      </w:pPr>
    </w:p>
    <w:p w14:paraId="2B800DFC" w14:textId="6E4D4BAF" w:rsidR="00F40C87" w:rsidRPr="003C5DA7" w:rsidRDefault="001A5FB0" w:rsidP="00261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91"/>
        <w:contextualSpacing/>
        <w:jc w:val="both"/>
        <w:rPr>
          <w:rFonts w:cs="Arial"/>
          <w:szCs w:val="22"/>
        </w:rPr>
      </w:pPr>
      <w:r w:rsidRPr="003C5DA7">
        <w:rPr>
          <w:rFonts w:cs="Arial"/>
          <w:szCs w:val="22"/>
        </w:rPr>
        <w:t>There were no transfers between levels for the years ended 31 December 201</w:t>
      </w:r>
      <w:r w:rsidR="003C5DA7" w:rsidRPr="003C5DA7">
        <w:rPr>
          <w:rFonts w:cs="Arial"/>
          <w:szCs w:val="22"/>
        </w:rPr>
        <w:t>5 and 2014</w:t>
      </w:r>
      <w:r w:rsidRPr="003C5DA7">
        <w:rPr>
          <w:rFonts w:cs="Arial"/>
          <w:szCs w:val="22"/>
        </w:rPr>
        <w:t>.</w:t>
      </w:r>
    </w:p>
    <w:p w14:paraId="6AA54693" w14:textId="77777777" w:rsidR="00F40C87" w:rsidRPr="00D25DF8" w:rsidRDefault="00F40C87" w:rsidP="00261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91"/>
        <w:contextualSpacing/>
        <w:jc w:val="both"/>
        <w:rPr>
          <w:rFonts w:cs="Arial"/>
          <w:color w:val="FF0000"/>
          <w:szCs w:val="22"/>
        </w:rPr>
      </w:pPr>
    </w:p>
    <w:p w14:paraId="619177ED" w14:textId="77777777" w:rsidR="00F40C87" w:rsidRPr="003C5DA7" w:rsidRDefault="001A5FB0" w:rsidP="00261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91"/>
        <w:contextualSpacing/>
        <w:jc w:val="both"/>
        <w:rPr>
          <w:rFonts w:cs="Arial"/>
          <w:szCs w:val="22"/>
        </w:rPr>
      </w:pPr>
      <w:r w:rsidRPr="003C5DA7">
        <w:rPr>
          <w:rFonts w:cs="Arial"/>
          <w:szCs w:val="22"/>
        </w:rPr>
        <w:t>The following table presents additional information about Level 3 assets and liabilities measured at fair value. Both observable and unobservable inputs may be used to determine the fair value of positions that the Company has classified within the Level 3 fair value category. As a result, the unrealised gains and losses for assets and liabilities within the Level 3 fair value category may include changes in fair value that were attributable to both observable and unobservable inputs.</w:t>
      </w:r>
    </w:p>
    <w:p w14:paraId="24B2A8F9" w14:textId="77777777" w:rsidR="00F40C87" w:rsidRPr="003C5DA7" w:rsidRDefault="00F40C87" w:rsidP="00261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91"/>
        <w:contextualSpacing/>
        <w:jc w:val="both"/>
        <w:rPr>
          <w:rFonts w:cs="Arial"/>
          <w:szCs w:val="22"/>
        </w:rPr>
      </w:pPr>
    </w:p>
    <w:p w14:paraId="7509252E" w14:textId="6862B952" w:rsidR="00F40C87" w:rsidRPr="003C5DA7" w:rsidRDefault="001A5FB0" w:rsidP="00261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91"/>
        <w:contextualSpacing/>
        <w:jc w:val="both"/>
        <w:rPr>
          <w:rFonts w:cs="Arial"/>
          <w:szCs w:val="22"/>
        </w:rPr>
      </w:pPr>
      <w:r w:rsidRPr="003C5DA7">
        <w:rPr>
          <w:rFonts w:cs="Arial"/>
          <w:szCs w:val="22"/>
        </w:rPr>
        <w:t>Changes in Level 3 assets measured at fair value for</w:t>
      </w:r>
      <w:r w:rsidR="003C5DA7" w:rsidRPr="003C5DA7">
        <w:rPr>
          <w:rFonts w:cs="Arial"/>
          <w:szCs w:val="22"/>
        </w:rPr>
        <w:t xml:space="preserve"> the year ended 31 December 2015</w:t>
      </w:r>
      <w:r w:rsidRPr="003C5DA7">
        <w:rPr>
          <w:rFonts w:cs="Arial"/>
          <w:szCs w:val="22"/>
        </w:rPr>
        <w:t xml:space="preserve"> were as follows:</w:t>
      </w:r>
    </w:p>
    <w:p w14:paraId="7AE455E9" w14:textId="77777777" w:rsidR="00C24EB8" w:rsidRPr="00D25DF8" w:rsidRDefault="001A5FB0" w:rsidP="00391350">
      <w:pPr>
        <w:jc w:val="both"/>
        <w:rPr>
          <w:rFonts w:cs="Arial"/>
          <w:b/>
          <w:color w:val="FF0000"/>
          <w:szCs w:val="22"/>
        </w:rPr>
      </w:pPr>
      <w:r w:rsidRPr="00D25DF8">
        <w:rPr>
          <w:rFonts w:cs="Arial"/>
          <w:b/>
          <w:color w:val="FF0000"/>
          <w:szCs w:val="22"/>
        </w:rPr>
        <w:t xml:space="preserve"> </w:t>
      </w:r>
    </w:p>
    <w:tbl>
      <w:tblPr>
        <w:tblW w:w="10065" w:type="dxa"/>
        <w:tblInd w:w="-34" w:type="dxa"/>
        <w:tblLayout w:type="fixed"/>
        <w:tblLook w:val="00A0" w:firstRow="1" w:lastRow="0" w:firstColumn="1" w:lastColumn="0" w:noHBand="0" w:noVBand="0"/>
      </w:tblPr>
      <w:tblGrid>
        <w:gridCol w:w="1702"/>
        <w:gridCol w:w="1250"/>
        <w:gridCol w:w="1301"/>
        <w:gridCol w:w="1080"/>
        <w:gridCol w:w="1634"/>
        <w:gridCol w:w="1808"/>
        <w:gridCol w:w="1290"/>
      </w:tblGrid>
      <w:tr w:rsidR="003C5DA7" w:rsidRPr="00D25DF8" w14:paraId="44569551" w14:textId="77777777" w:rsidTr="003C5DA7">
        <w:trPr>
          <w:trHeight w:val="1090"/>
        </w:trPr>
        <w:tc>
          <w:tcPr>
            <w:tcW w:w="1702" w:type="dxa"/>
            <w:tcBorders>
              <w:bottom w:val="single" w:sz="4" w:space="0" w:color="auto"/>
            </w:tcBorders>
            <w:vAlign w:val="bottom"/>
          </w:tcPr>
          <w:p w14:paraId="24C0C3C2" w14:textId="77777777" w:rsidR="003C5DA7" w:rsidRPr="003C5DA7" w:rsidRDefault="003C5DA7" w:rsidP="00391350">
            <w:pPr>
              <w:ind w:right="-108"/>
              <w:rPr>
                <w:rFonts w:cs="Arial"/>
                <w:b/>
                <w:szCs w:val="22"/>
              </w:rPr>
            </w:pPr>
          </w:p>
        </w:tc>
        <w:tc>
          <w:tcPr>
            <w:tcW w:w="1250" w:type="dxa"/>
            <w:tcBorders>
              <w:bottom w:val="single" w:sz="4" w:space="0" w:color="auto"/>
            </w:tcBorders>
            <w:vAlign w:val="bottom"/>
          </w:tcPr>
          <w:p w14:paraId="1222A38D" w14:textId="77777777" w:rsidR="003C5DA7" w:rsidRPr="003C5DA7" w:rsidRDefault="003C5DA7" w:rsidP="00391350">
            <w:pPr>
              <w:ind w:right="-108"/>
              <w:rPr>
                <w:rFonts w:cs="Arial"/>
                <w:b/>
                <w:sz w:val="14"/>
                <w:szCs w:val="14"/>
              </w:rPr>
            </w:pPr>
            <w:r w:rsidRPr="003C5DA7">
              <w:rPr>
                <w:rFonts w:cs="Arial"/>
                <w:b/>
                <w:sz w:val="14"/>
                <w:szCs w:val="14"/>
              </w:rPr>
              <w:t>Beginning</w:t>
            </w:r>
          </w:p>
          <w:p w14:paraId="55E902EE" w14:textId="77777777" w:rsidR="003C5DA7" w:rsidRPr="003C5DA7" w:rsidRDefault="003C5DA7" w:rsidP="00391350">
            <w:pPr>
              <w:ind w:right="-108"/>
              <w:rPr>
                <w:rFonts w:cs="Arial"/>
                <w:b/>
                <w:sz w:val="14"/>
                <w:szCs w:val="14"/>
              </w:rPr>
            </w:pPr>
            <w:r w:rsidRPr="003C5DA7">
              <w:rPr>
                <w:rFonts w:cs="Arial"/>
                <w:b/>
                <w:sz w:val="14"/>
                <w:szCs w:val="14"/>
              </w:rPr>
              <w:t xml:space="preserve">Balance </w:t>
            </w:r>
          </w:p>
          <w:p w14:paraId="672252D4" w14:textId="0FB5F176" w:rsidR="003C5DA7" w:rsidRPr="003C5DA7" w:rsidRDefault="003C5DA7" w:rsidP="00391350">
            <w:pPr>
              <w:ind w:right="-108"/>
              <w:rPr>
                <w:rFonts w:cs="Arial"/>
                <w:b/>
                <w:sz w:val="14"/>
                <w:szCs w:val="14"/>
              </w:rPr>
            </w:pPr>
            <w:r w:rsidRPr="003C5DA7">
              <w:rPr>
                <w:rFonts w:cs="Arial"/>
                <w:b/>
                <w:sz w:val="14"/>
                <w:szCs w:val="14"/>
              </w:rPr>
              <w:t>1 Jan. 2015</w:t>
            </w:r>
          </w:p>
        </w:tc>
        <w:tc>
          <w:tcPr>
            <w:tcW w:w="1301" w:type="dxa"/>
            <w:tcBorders>
              <w:bottom w:val="single" w:sz="4" w:space="0" w:color="auto"/>
            </w:tcBorders>
            <w:vAlign w:val="bottom"/>
          </w:tcPr>
          <w:p w14:paraId="2AD07E36" w14:textId="77777777" w:rsidR="003C5DA7" w:rsidRPr="003C5DA7" w:rsidRDefault="003C5DA7" w:rsidP="00391350">
            <w:pPr>
              <w:ind w:right="-108"/>
              <w:rPr>
                <w:rFonts w:cs="Arial"/>
                <w:b/>
                <w:sz w:val="14"/>
                <w:szCs w:val="14"/>
              </w:rPr>
            </w:pPr>
            <w:r w:rsidRPr="003C5DA7">
              <w:rPr>
                <w:rFonts w:cs="Arial"/>
                <w:b/>
                <w:sz w:val="14"/>
                <w:szCs w:val="14"/>
              </w:rPr>
              <w:t>Realised and Unrealised</w:t>
            </w:r>
          </w:p>
          <w:p w14:paraId="1B86A660" w14:textId="77777777" w:rsidR="003C5DA7" w:rsidRPr="003C5DA7" w:rsidRDefault="003C5DA7" w:rsidP="003C5DA7">
            <w:pPr>
              <w:ind w:left="-83" w:right="-108" w:firstLine="83"/>
              <w:rPr>
                <w:rFonts w:cs="Arial"/>
                <w:b/>
                <w:sz w:val="14"/>
                <w:szCs w:val="14"/>
              </w:rPr>
            </w:pPr>
            <w:r w:rsidRPr="003C5DA7">
              <w:rPr>
                <w:rFonts w:cs="Arial"/>
                <w:b/>
                <w:sz w:val="14"/>
                <w:szCs w:val="14"/>
              </w:rPr>
              <w:t>Appreciation</w:t>
            </w:r>
          </w:p>
          <w:p w14:paraId="5AA0A9AA" w14:textId="5CCB8217" w:rsidR="003C5DA7" w:rsidRPr="003C5DA7" w:rsidRDefault="00401150" w:rsidP="00391350">
            <w:pPr>
              <w:ind w:right="-108"/>
              <w:rPr>
                <w:rFonts w:cs="Arial"/>
                <w:b/>
                <w:sz w:val="14"/>
                <w:szCs w:val="14"/>
              </w:rPr>
            </w:pPr>
            <w:r>
              <w:rPr>
                <w:rFonts w:cs="Arial"/>
                <w:b/>
                <w:sz w:val="14"/>
                <w:szCs w:val="14"/>
              </w:rPr>
              <w:t>o</w:t>
            </w:r>
            <w:r w:rsidR="003C5DA7" w:rsidRPr="003C5DA7">
              <w:rPr>
                <w:rFonts w:cs="Arial"/>
                <w:b/>
                <w:sz w:val="14"/>
                <w:szCs w:val="14"/>
              </w:rPr>
              <w:t>n Securities</w:t>
            </w:r>
            <w:r w:rsidR="003C5DA7">
              <w:rPr>
                <w:rFonts w:cs="Arial"/>
                <w:b/>
                <w:sz w:val="14"/>
                <w:szCs w:val="14"/>
              </w:rPr>
              <w:t xml:space="preserve"> </w:t>
            </w:r>
            <w:r w:rsidR="003C5DA7" w:rsidRPr="003C5DA7">
              <w:rPr>
                <w:rFonts w:cs="Arial"/>
                <w:b/>
                <w:sz w:val="14"/>
                <w:szCs w:val="14"/>
              </w:rPr>
              <w:t xml:space="preserve">(a)     </w:t>
            </w:r>
          </w:p>
        </w:tc>
        <w:tc>
          <w:tcPr>
            <w:tcW w:w="1080" w:type="dxa"/>
            <w:tcBorders>
              <w:bottom w:val="single" w:sz="4" w:space="0" w:color="auto"/>
            </w:tcBorders>
            <w:vAlign w:val="bottom"/>
          </w:tcPr>
          <w:p w14:paraId="6099CAA7" w14:textId="77777777" w:rsidR="003C5DA7" w:rsidRPr="003C5DA7" w:rsidRDefault="003C5DA7" w:rsidP="00391350">
            <w:pPr>
              <w:ind w:right="-108"/>
              <w:rPr>
                <w:rFonts w:cs="Arial"/>
                <w:b/>
                <w:szCs w:val="22"/>
              </w:rPr>
            </w:pPr>
            <w:r w:rsidRPr="003C5DA7">
              <w:rPr>
                <w:rFonts w:cs="Arial"/>
                <w:b/>
                <w:sz w:val="14"/>
                <w:szCs w:val="14"/>
              </w:rPr>
              <w:t>Purchases</w:t>
            </w:r>
          </w:p>
        </w:tc>
        <w:tc>
          <w:tcPr>
            <w:tcW w:w="1634" w:type="dxa"/>
            <w:tcBorders>
              <w:bottom w:val="single" w:sz="4" w:space="0" w:color="auto"/>
            </w:tcBorders>
            <w:vAlign w:val="bottom"/>
          </w:tcPr>
          <w:p w14:paraId="07005817" w14:textId="77777777" w:rsidR="003C5DA7" w:rsidRPr="003C5DA7" w:rsidRDefault="003C5DA7" w:rsidP="00391350">
            <w:pPr>
              <w:ind w:right="-108"/>
              <w:rPr>
                <w:rFonts w:cs="Arial"/>
                <w:b/>
                <w:szCs w:val="22"/>
              </w:rPr>
            </w:pPr>
            <w:r w:rsidRPr="003C5DA7">
              <w:rPr>
                <w:rFonts w:cs="Arial"/>
                <w:b/>
                <w:sz w:val="14"/>
                <w:szCs w:val="14"/>
              </w:rPr>
              <w:t>Sales</w:t>
            </w:r>
          </w:p>
        </w:tc>
        <w:tc>
          <w:tcPr>
            <w:tcW w:w="1808" w:type="dxa"/>
            <w:tcBorders>
              <w:bottom w:val="single" w:sz="4" w:space="0" w:color="auto"/>
            </w:tcBorders>
            <w:vAlign w:val="bottom"/>
          </w:tcPr>
          <w:p w14:paraId="4C245289" w14:textId="77777777" w:rsidR="003C5DA7" w:rsidRPr="003C5DA7" w:rsidRDefault="003C5DA7" w:rsidP="00391350">
            <w:pPr>
              <w:ind w:right="-108"/>
              <w:rPr>
                <w:rFonts w:cs="Arial"/>
                <w:b/>
                <w:sz w:val="14"/>
                <w:szCs w:val="14"/>
                <w:u w:val="single"/>
              </w:rPr>
            </w:pPr>
          </w:p>
          <w:p w14:paraId="287F331A" w14:textId="77777777" w:rsidR="003C5DA7" w:rsidRPr="003C5DA7" w:rsidRDefault="003C5DA7" w:rsidP="00391350">
            <w:pPr>
              <w:ind w:right="-108"/>
              <w:rPr>
                <w:rFonts w:cs="Arial"/>
                <w:b/>
                <w:sz w:val="14"/>
                <w:szCs w:val="14"/>
                <w:u w:val="single"/>
              </w:rPr>
            </w:pPr>
            <w:r w:rsidRPr="003C5DA7">
              <w:rPr>
                <w:rFonts w:cs="Arial"/>
                <w:b/>
                <w:sz w:val="14"/>
                <w:szCs w:val="14"/>
              </w:rPr>
              <w:t>Ending</w:t>
            </w:r>
            <w:r w:rsidRPr="003C5DA7">
              <w:rPr>
                <w:rFonts w:cs="Arial"/>
                <w:b/>
                <w:sz w:val="14"/>
                <w:szCs w:val="14"/>
                <w:u w:val="single"/>
              </w:rPr>
              <w:t xml:space="preserve"> </w:t>
            </w:r>
          </w:p>
          <w:p w14:paraId="32D8446A" w14:textId="77777777" w:rsidR="003C5DA7" w:rsidRPr="003C5DA7" w:rsidRDefault="003C5DA7" w:rsidP="00391350">
            <w:pPr>
              <w:ind w:right="-108"/>
              <w:rPr>
                <w:rFonts w:cs="Arial"/>
                <w:b/>
                <w:sz w:val="14"/>
                <w:szCs w:val="14"/>
                <w:u w:val="single"/>
              </w:rPr>
            </w:pPr>
            <w:r w:rsidRPr="003C5DA7">
              <w:rPr>
                <w:rFonts w:cs="Arial"/>
                <w:b/>
                <w:sz w:val="14"/>
                <w:szCs w:val="14"/>
              </w:rPr>
              <w:t>Balance</w:t>
            </w:r>
            <w:r w:rsidRPr="003C5DA7">
              <w:rPr>
                <w:rFonts w:cs="Arial"/>
                <w:b/>
                <w:sz w:val="14"/>
                <w:szCs w:val="14"/>
                <w:u w:val="single"/>
              </w:rPr>
              <w:t xml:space="preserve"> </w:t>
            </w:r>
          </w:p>
          <w:p w14:paraId="2DC5536D" w14:textId="722B9578" w:rsidR="003C5DA7" w:rsidRPr="003C5DA7" w:rsidRDefault="003C5DA7" w:rsidP="00391350">
            <w:pPr>
              <w:ind w:right="-108"/>
              <w:rPr>
                <w:rFonts w:cs="Arial"/>
                <w:b/>
                <w:sz w:val="14"/>
                <w:szCs w:val="14"/>
                <w:u w:val="single"/>
              </w:rPr>
            </w:pPr>
            <w:r w:rsidRPr="003C5DA7">
              <w:rPr>
                <w:rFonts w:cs="Arial"/>
                <w:b/>
                <w:sz w:val="14"/>
                <w:szCs w:val="14"/>
              </w:rPr>
              <w:t>31 Dec. 2015</w:t>
            </w:r>
          </w:p>
        </w:tc>
        <w:tc>
          <w:tcPr>
            <w:tcW w:w="1290" w:type="dxa"/>
            <w:tcBorders>
              <w:bottom w:val="single" w:sz="4" w:space="0" w:color="auto"/>
            </w:tcBorders>
            <w:vAlign w:val="bottom"/>
          </w:tcPr>
          <w:p w14:paraId="061E49ED" w14:textId="77777777" w:rsidR="003C5DA7" w:rsidRPr="003C5DA7" w:rsidRDefault="003C5DA7" w:rsidP="00391350">
            <w:pPr>
              <w:tabs>
                <w:tab w:val="left" w:pos="972"/>
              </w:tabs>
              <w:ind w:right="-288"/>
              <w:rPr>
                <w:rFonts w:cs="Arial"/>
                <w:b/>
                <w:sz w:val="14"/>
                <w:szCs w:val="14"/>
              </w:rPr>
            </w:pPr>
            <w:r w:rsidRPr="003C5DA7">
              <w:rPr>
                <w:rFonts w:cs="Arial"/>
                <w:b/>
                <w:sz w:val="14"/>
                <w:szCs w:val="14"/>
              </w:rPr>
              <w:t>Unrealised</w:t>
            </w:r>
          </w:p>
          <w:p w14:paraId="5306CDF5" w14:textId="77777777" w:rsidR="003C5DA7" w:rsidRPr="003C5DA7" w:rsidRDefault="003C5DA7" w:rsidP="00391350">
            <w:pPr>
              <w:tabs>
                <w:tab w:val="left" w:pos="972"/>
              </w:tabs>
              <w:ind w:right="-288"/>
              <w:rPr>
                <w:rFonts w:cs="Arial"/>
                <w:b/>
                <w:sz w:val="14"/>
                <w:szCs w:val="14"/>
              </w:rPr>
            </w:pPr>
            <w:r w:rsidRPr="003C5DA7">
              <w:rPr>
                <w:rFonts w:cs="Arial"/>
                <w:b/>
                <w:sz w:val="14"/>
                <w:szCs w:val="14"/>
              </w:rPr>
              <w:t xml:space="preserve">Appreciation </w:t>
            </w:r>
          </w:p>
          <w:p w14:paraId="47180712" w14:textId="064AA73E" w:rsidR="003C5DA7" w:rsidRPr="003C5DA7" w:rsidRDefault="00401150" w:rsidP="003C5DA7">
            <w:pPr>
              <w:tabs>
                <w:tab w:val="left" w:pos="850"/>
              </w:tabs>
              <w:ind w:left="-496" w:right="-288" w:firstLine="496"/>
              <w:rPr>
                <w:rFonts w:cs="Arial"/>
                <w:b/>
                <w:sz w:val="14"/>
                <w:szCs w:val="14"/>
              </w:rPr>
            </w:pPr>
            <w:r>
              <w:rPr>
                <w:rFonts w:cs="Arial"/>
                <w:b/>
                <w:sz w:val="14"/>
                <w:szCs w:val="14"/>
              </w:rPr>
              <w:t>o</w:t>
            </w:r>
            <w:r w:rsidR="003C5DA7" w:rsidRPr="003C5DA7">
              <w:rPr>
                <w:rFonts w:cs="Arial"/>
                <w:b/>
                <w:sz w:val="14"/>
                <w:szCs w:val="14"/>
              </w:rPr>
              <w:t>n Securities</w:t>
            </w:r>
          </w:p>
          <w:p w14:paraId="7FD419EC" w14:textId="77777777" w:rsidR="003C5DA7" w:rsidRPr="003C5DA7" w:rsidRDefault="003C5DA7" w:rsidP="00391350">
            <w:pPr>
              <w:tabs>
                <w:tab w:val="left" w:pos="972"/>
              </w:tabs>
              <w:ind w:right="-288"/>
              <w:rPr>
                <w:rFonts w:cs="Arial"/>
                <w:b/>
                <w:sz w:val="14"/>
                <w:szCs w:val="14"/>
              </w:rPr>
            </w:pPr>
            <w:r w:rsidRPr="003C5DA7">
              <w:rPr>
                <w:rFonts w:cs="Arial"/>
                <w:b/>
                <w:sz w:val="14"/>
                <w:szCs w:val="14"/>
              </w:rPr>
              <w:t>held at</w:t>
            </w:r>
          </w:p>
          <w:p w14:paraId="06F37184" w14:textId="0B7A2957" w:rsidR="003C5DA7" w:rsidRPr="003C5DA7" w:rsidRDefault="003C5DA7" w:rsidP="00391350">
            <w:pPr>
              <w:tabs>
                <w:tab w:val="left" w:pos="972"/>
              </w:tabs>
              <w:ind w:right="-288"/>
              <w:rPr>
                <w:rFonts w:cs="Arial"/>
                <w:b/>
                <w:sz w:val="14"/>
                <w:szCs w:val="14"/>
              </w:rPr>
            </w:pPr>
            <w:r w:rsidRPr="003C5DA7">
              <w:rPr>
                <w:rFonts w:cs="Arial"/>
                <w:b/>
                <w:sz w:val="14"/>
                <w:szCs w:val="14"/>
              </w:rPr>
              <w:t xml:space="preserve">31 Dec. 2015 (b)     </w:t>
            </w:r>
          </w:p>
        </w:tc>
      </w:tr>
      <w:tr w:rsidR="003C5DA7" w:rsidRPr="00D25DF8" w14:paraId="04BDC738" w14:textId="77777777" w:rsidTr="003C5DA7">
        <w:trPr>
          <w:trHeight w:val="422"/>
        </w:trPr>
        <w:tc>
          <w:tcPr>
            <w:tcW w:w="2952" w:type="dxa"/>
            <w:gridSpan w:val="2"/>
            <w:tcBorders>
              <w:top w:val="single" w:sz="4" w:space="0" w:color="auto"/>
            </w:tcBorders>
          </w:tcPr>
          <w:p w14:paraId="48AB1F63" w14:textId="77777777" w:rsidR="003C5DA7" w:rsidRPr="003C5DA7" w:rsidRDefault="003C5DA7" w:rsidP="00391350">
            <w:pPr>
              <w:rPr>
                <w:rFonts w:cs="Arial"/>
                <w:sz w:val="16"/>
                <w:szCs w:val="16"/>
                <w:u w:val="single"/>
              </w:rPr>
            </w:pPr>
            <w:r w:rsidRPr="003C5DA7">
              <w:rPr>
                <w:rFonts w:cs="Arial"/>
                <w:b/>
                <w:sz w:val="16"/>
                <w:szCs w:val="16"/>
              </w:rPr>
              <w:t xml:space="preserve">Assets </w:t>
            </w:r>
            <w:r w:rsidRPr="003C5DA7">
              <w:rPr>
                <w:rFonts w:cs="Arial"/>
                <w:sz w:val="16"/>
                <w:szCs w:val="16"/>
              </w:rPr>
              <w:t>(at fair value)</w:t>
            </w:r>
          </w:p>
          <w:p w14:paraId="67E0066F" w14:textId="77777777" w:rsidR="003C5DA7" w:rsidRPr="003C5DA7" w:rsidRDefault="003C5DA7" w:rsidP="00391350">
            <w:pPr>
              <w:ind w:right="-108"/>
              <w:rPr>
                <w:rFonts w:cs="Arial"/>
                <w:b/>
                <w:szCs w:val="22"/>
              </w:rPr>
            </w:pPr>
          </w:p>
        </w:tc>
        <w:tc>
          <w:tcPr>
            <w:tcW w:w="1301" w:type="dxa"/>
            <w:tcBorders>
              <w:top w:val="single" w:sz="4" w:space="0" w:color="auto"/>
            </w:tcBorders>
          </w:tcPr>
          <w:p w14:paraId="1863B8A1" w14:textId="77777777" w:rsidR="003C5DA7" w:rsidRPr="003C5DA7" w:rsidRDefault="003C5DA7" w:rsidP="00391350">
            <w:pPr>
              <w:ind w:right="-108"/>
              <w:rPr>
                <w:rFonts w:cs="Arial"/>
                <w:b/>
                <w:szCs w:val="22"/>
              </w:rPr>
            </w:pPr>
          </w:p>
        </w:tc>
        <w:tc>
          <w:tcPr>
            <w:tcW w:w="1080" w:type="dxa"/>
            <w:tcBorders>
              <w:top w:val="single" w:sz="4" w:space="0" w:color="auto"/>
            </w:tcBorders>
          </w:tcPr>
          <w:p w14:paraId="44AEA5F8" w14:textId="77777777" w:rsidR="003C5DA7" w:rsidRPr="003C5DA7" w:rsidRDefault="003C5DA7" w:rsidP="00391350">
            <w:pPr>
              <w:ind w:right="-108"/>
              <w:rPr>
                <w:rFonts w:cs="Arial"/>
                <w:b/>
                <w:szCs w:val="22"/>
              </w:rPr>
            </w:pPr>
          </w:p>
        </w:tc>
        <w:tc>
          <w:tcPr>
            <w:tcW w:w="1634" w:type="dxa"/>
            <w:tcBorders>
              <w:top w:val="single" w:sz="4" w:space="0" w:color="auto"/>
            </w:tcBorders>
          </w:tcPr>
          <w:p w14:paraId="7B21FEBF" w14:textId="77777777" w:rsidR="003C5DA7" w:rsidRPr="003C5DA7" w:rsidRDefault="003C5DA7" w:rsidP="00391350">
            <w:pPr>
              <w:ind w:right="-108"/>
              <w:rPr>
                <w:rFonts w:cs="Arial"/>
                <w:b/>
                <w:szCs w:val="22"/>
              </w:rPr>
            </w:pPr>
          </w:p>
        </w:tc>
        <w:tc>
          <w:tcPr>
            <w:tcW w:w="1808" w:type="dxa"/>
            <w:tcBorders>
              <w:top w:val="single" w:sz="4" w:space="0" w:color="auto"/>
            </w:tcBorders>
          </w:tcPr>
          <w:p w14:paraId="0A3EA6B4" w14:textId="77777777" w:rsidR="003C5DA7" w:rsidRPr="003C5DA7" w:rsidRDefault="003C5DA7" w:rsidP="00391350">
            <w:pPr>
              <w:ind w:right="-108"/>
              <w:rPr>
                <w:rFonts w:cs="Arial"/>
                <w:b/>
                <w:szCs w:val="22"/>
              </w:rPr>
            </w:pPr>
          </w:p>
        </w:tc>
        <w:tc>
          <w:tcPr>
            <w:tcW w:w="1290" w:type="dxa"/>
            <w:tcBorders>
              <w:top w:val="single" w:sz="4" w:space="0" w:color="auto"/>
            </w:tcBorders>
          </w:tcPr>
          <w:p w14:paraId="208E0E0D" w14:textId="77777777" w:rsidR="003C5DA7" w:rsidRPr="003C5DA7" w:rsidRDefault="003C5DA7" w:rsidP="00391350">
            <w:pPr>
              <w:ind w:right="-108"/>
              <w:rPr>
                <w:rFonts w:cs="Arial"/>
                <w:b/>
                <w:szCs w:val="22"/>
              </w:rPr>
            </w:pPr>
          </w:p>
        </w:tc>
      </w:tr>
      <w:tr w:rsidR="003C5DA7" w:rsidRPr="00D25DF8" w14:paraId="77C2D893" w14:textId="77777777" w:rsidTr="003C5DA7">
        <w:trPr>
          <w:trHeight w:val="450"/>
        </w:trPr>
        <w:tc>
          <w:tcPr>
            <w:tcW w:w="1702" w:type="dxa"/>
            <w:tcBorders>
              <w:bottom w:val="single" w:sz="4" w:space="0" w:color="auto"/>
            </w:tcBorders>
            <w:vAlign w:val="bottom"/>
          </w:tcPr>
          <w:p w14:paraId="7F904F2F" w14:textId="77777777" w:rsidR="003C5DA7" w:rsidRPr="003C5DA7" w:rsidRDefault="003C5DA7" w:rsidP="00E3336E">
            <w:pPr>
              <w:tabs>
                <w:tab w:val="left" w:pos="3240"/>
                <w:tab w:val="left" w:pos="3330"/>
                <w:tab w:val="left" w:pos="4770"/>
                <w:tab w:val="left" w:pos="7470"/>
              </w:tabs>
              <w:rPr>
                <w:rFonts w:cs="Arial"/>
                <w:sz w:val="16"/>
                <w:szCs w:val="16"/>
              </w:rPr>
            </w:pPr>
            <w:r w:rsidRPr="003C5DA7">
              <w:rPr>
                <w:rFonts w:cs="Arial"/>
                <w:sz w:val="16"/>
                <w:szCs w:val="16"/>
              </w:rPr>
              <w:t xml:space="preserve">Investments in </w:t>
            </w:r>
          </w:p>
          <w:p w14:paraId="5E3AC5D8" w14:textId="77777777" w:rsidR="003C5DA7" w:rsidRPr="003C5DA7" w:rsidRDefault="003C5DA7" w:rsidP="00E3336E">
            <w:pPr>
              <w:ind w:right="-108"/>
              <w:rPr>
                <w:rFonts w:cs="Arial"/>
                <w:b/>
                <w:szCs w:val="22"/>
              </w:rPr>
            </w:pPr>
            <w:r w:rsidRPr="003C5DA7">
              <w:rPr>
                <w:rFonts w:cs="Arial"/>
                <w:sz w:val="16"/>
                <w:szCs w:val="16"/>
              </w:rPr>
              <w:t>Master Fund</w:t>
            </w:r>
          </w:p>
        </w:tc>
        <w:tc>
          <w:tcPr>
            <w:tcW w:w="1250" w:type="dxa"/>
            <w:tcBorders>
              <w:bottom w:val="single" w:sz="4" w:space="0" w:color="auto"/>
            </w:tcBorders>
            <w:vAlign w:val="bottom"/>
          </w:tcPr>
          <w:p w14:paraId="0FC4CE68" w14:textId="78FEA4CD" w:rsidR="003C5DA7" w:rsidRPr="003C5DA7" w:rsidRDefault="003C5DA7" w:rsidP="003C5DA7">
            <w:pPr>
              <w:ind w:right="-108"/>
              <w:rPr>
                <w:rFonts w:cs="Arial"/>
                <w:b/>
                <w:szCs w:val="22"/>
              </w:rPr>
            </w:pPr>
            <w:r w:rsidRPr="003C5DA7">
              <w:rPr>
                <w:rFonts w:cs="Arial"/>
                <w:sz w:val="16"/>
                <w:szCs w:val="16"/>
              </w:rPr>
              <w:t>$363,800,160</w:t>
            </w:r>
          </w:p>
        </w:tc>
        <w:tc>
          <w:tcPr>
            <w:tcW w:w="1301" w:type="dxa"/>
            <w:tcBorders>
              <w:bottom w:val="single" w:sz="4" w:space="0" w:color="auto"/>
            </w:tcBorders>
            <w:vAlign w:val="bottom"/>
          </w:tcPr>
          <w:p w14:paraId="0C2F2495" w14:textId="35D20607" w:rsidR="003C5DA7" w:rsidRPr="003C5DA7" w:rsidRDefault="003C5DA7" w:rsidP="003C5DA7">
            <w:pPr>
              <w:ind w:right="-108"/>
              <w:rPr>
                <w:rFonts w:cs="Arial"/>
                <w:b/>
                <w:szCs w:val="22"/>
              </w:rPr>
            </w:pPr>
            <w:r w:rsidRPr="003C5DA7">
              <w:rPr>
                <w:rFonts w:cs="Arial"/>
                <w:sz w:val="16"/>
                <w:szCs w:val="16"/>
              </w:rPr>
              <w:t xml:space="preserve">$38,916,827       </w:t>
            </w:r>
          </w:p>
        </w:tc>
        <w:tc>
          <w:tcPr>
            <w:tcW w:w="1080" w:type="dxa"/>
            <w:tcBorders>
              <w:bottom w:val="single" w:sz="4" w:space="0" w:color="auto"/>
            </w:tcBorders>
            <w:vAlign w:val="bottom"/>
          </w:tcPr>
          <w:p w14:paraId="079B0F78" w14:textId="0EEBF9B6" w:rsidR="003C5DA7" w:rsidRPr="003C5DA7" w:rsidRDefault="003C5DA7" w:rsidP="003C5DA7">
            <w:pPr>
              <w:ind w:right="-108"/>
              <w:rPr>
                <w:rFonts w:cs="Arial"/>
                <w:b/>
                <w:szCs w:val="22"/>
              </w:rPr>
            </w:pPr>
            <w:r w:rsidRPr="003C5DA7">
              <w:rPr>
                <w:rFonts w:cs="Arial"/>
                <w:sz w:val="16"/>
                <w:szCs w:val="16"/>
              </w:rPr>
              <w:t xml:space="preserve"> </w:t>
            </w:r>
          </w:p>
        </w:tc>
        <w:tc>
          <w:tcPr>
            <w:tcW w:w="1634" w:type="dxa"/>
            <w:tcBorders>
              <w:bottom w:val="single" w:sz="4" w:space="0" w:color="auto"/>
            </w:tcBorders>
            <w:vAlign w:val="bottom"/>
          </w:tcPr>
          <w:p w14:paraId="62AD2FEE" w14:textId="5C053DEA" w:rsidR="003C5DA7" w:rsidRPr="003C5DA7" w:rsidRDefault="003C5DA7" w:rsidP="003C5DA7">
            <w:pPr>
              <w:ind w:right="-108"/>
              <w:rPr>
                <w:rFonts w:cs="Arial"/>
                <w:b/>
                <w:szCs w:val="22"/>
              </w:rPr>
            </w:pPr>
            <w:r w:rsidRPr="003C5DA7">
              <w:rPr>
                <w:rFonts w:cs="Arial"/>
                <w:sz w:val="16"/>
                <w:szCs w:val="16"/>
              </w:rPr>
              <w:t>$(55,200,000)</w:t>
            </w:r>
          </w:p>
        </w:tc>
        <w:tc>
          <w:tcPr>
            <w:tcW w:w="1808" w:type="dxa"/>
            <w:tcBorders>
              <w:bottom w:val="single" w:sz="4" w:space="0" w:color="auto"/>
            </w:tcBorders>
            <w:vAlign w:val="bottom"/>
          </w:tcPr>
          <w:p w14:paraId="5528EB76" w14:textId="77777777" w:rsidR="003C5DA7" w:rsidRPr="003C5DA7" w:rsidRDefault="003C5DA7" w:rsidP="00E3336E">
            <w:pPr>
              <w:ind w:right="-108"/>
              <w:rPr>
                <w:rFonts w:cs="Arial"/>
                <w:sz w:val="16"/>
                <w:szCs w:val="16"/>
              </w:rPr>
            </w:pPr>
          </w:p>
          <w:p w14:paraId="1DDE00A9" w14:textId="0DEA63C4" w:rsidR="003C5DA7" w:rsidRPr="003C5DA7" w:rsidRDefault="003C5DA7" w:rsidP="003C5DA7">
            <w:pPr>
              <w:ind w:right="-108"/>
              <w:rPr>
                <w:rFonts w:cs="Arial"/>
                <w:sz w:val="16"/>
                <w:szCs w:val="16"/>
              </w:rPr>
            </w:pPr>
            <w:r w:rsidRPr="003C5DA7">
              <w:rPr>
                <w:rFonts w:cs="Arial"/>
                <w:sz w:val="16"/>
                <w:szCs w:val="16"/>
              </w:rPr>
              <w:t xml:space="preserve">$347,516,987         </w:t>
            </w:r>
          </w:p>
        </w:tc>
        <w:tc>
          <w:tcPr>
            <w:tcW w:w="1290" w:type="dxa"/>
            <w:tcBorders>
              <w:bottom w:val="single" w:sz="4" w:space="0" w:color="auto"/>
            </w:tcBorders>
            <w:vAlign w:val="bottom"/>
          </w:tcPr>
          <w:p w14:paraId="68CC115C" w14:textId="0F62110E" w:rsidR="003C5DA7" w:rsidRPr="003C5DA7" w:rsidRDefault="003C5DA7" w:rsidP="003C5DA7">
            <w:pPr>
              <w:ind w:right="-108"/>
              <w:rPr>
                <w:rFonts w:cs="Arial"/>
                <w:b/>
                <w:szCs w:val="22"/>
              </w:rPr>
            </w:pPr>
            <w:r w:rsidRPr="003C5DA7">
              <w:rPr>
                <w:rFonts w:cs="Arial"/>
                <w:sz w:val="16"/>
                <w:szCs w:val="16"/>
              </w:rPr>
              <w:t>$38,916,827</w:t>
            </w:r>
          </w:p>
        </w:tc>
      </w:tr>
    </w:tbl>
    <w:p w14:paraId="08FB7DA9" w14:textId="77777777" w:rsidR="00C24EB8" w:rsidRPr="003C5DA7" w:rsidRDefault="00C24EB8" w:rsidP="00834A8C">
      <w:pPr>
        <w:pStyle w:val="NormalWeb"/>
        <w:spacing w:before="0" w:beforeAutospacing="0" w:after="0" w:afterAutospacing="0"/>
        <w:jc w:val="both"/>
        <w:rPr>
          <w:rFonts w:ascii="Arial" w:hAnsi="Arial" w:cs="Arial"/>
          <w:spacing w:val="-2"/>
          <w:sz w:val="22"/>
          <w:szCs w:val="22"/>
        </w:rPr>
      </w:pPr>
    </w:p>
    <w:p w14:paraId="3310726B" w14:textId="77777777" w:rsidR="00B23E41" w:rsidRPr="003C5DA7" w:rsidRDefault="006A25F8" w:rsidP="00391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cs="Arial"/>
          <w:sz w:val="16"/>
          <w:szCs w:val="16"/>
        </w:rPr>
      </w:pPr>
      <w:r w:rsidRPr="003C5DA7">
        <w:rPr>
          <w:rFonts w:cs="Arial"/>
          <w:sz w:val="16"/>
          <w:szCs w:val="16"/>
        </w:rPr>
        <w:t>(a)</w:t>
      </w:r>
      <w:r w:rsidRPr="003C5DA7">
        <w:rPr>
          <w:rFonts w:cs="Arial"/>
          <w:sz w:val="16"/>
          <w:szCs w:val="16"/>
        </w:rPr>
        <w:tab/>
        <w:t xml:space="preserve">Realised and </w:t>
      </w:r>
      <w:r w:rsidR="001A5FB0" w:rsidRPr="003C5DA7">
        <w:rPr>
          <w:rFonts w:cs="Arial"/>
          <w:sz w:val="16"/>
          <w:szCs w:val="16"/>
        </w:rPr>
        <w:t xml:space="preserve">unrealised </w:t>
      </w:r>
      <w:r w:rsidRPr="003C5DA7">
        <w:rPr>
          <w:rFonts w:cs="Arial"/>
          <w:sz w:val="16"/>
          <w:szCs w:val="16"/>
        </w:rPr>
        <w:t>appreciation on securities are both</w:t>
      </w:r>
      <w:r w:rsidR="001A5FB0" w:rsidRPr="003C5DA7">
        <w:rPr>
          <w:rFonts w:cs="Arial"/>
          <w:sz w:val="16"/>
          <w:szCs w:val="16"/>
        </w:rPr>
        <w:t xml:space="preserve"> included in net investment loss allocated from the Master Fund and</w:t>
      </w:r>
      <w:r w:rsidRPr="003C5DA7">
        <w:rPr>
          <w:rFonts w:cs="Arial"/>
          <w:sz w:val="16"/>
          <w:szCs w:val="16"/>
        </w:rPr>
        <w:t xml:space="preserve"> net gain on securities in the S</w:t>
      </w:r>
      <w:r w:rsidR="001A5FB0" w:rsidRPr="003C5DA7">
        <w:rPr>
          <w:rFonts w:cs="Arial"/>
          <w:sz w:val="16"/>
          <w:szCs w:val="16"/>
        </w:rPr>
        <w:t>tatement</w:t>
      </w:r>
      <w:r w:rsidR="00BD2AEA" w:rsidRPr="003C5DA7">
        <w:rPr>
          <w:rFonts w:cs="Arial"/>
          <w:sz w:val="16"/>
          <w:szCs w:val="16"/>
        </w:rPr>
        <w:t>s</w:t>
      </w:r>
      <w:r w:rsidRPr="003C5DA7">
        <w:rPr>
          <w:rFonts w:cs="Arial"/>
          <w:sz w:val="16"/>
          <w:szCs w:val="16"/>
        </w:rPr>
        <w:t xml:space="preserve"> of O</w:t>
      </w:r>
      <w:r w:rsidR="001A5FB0" w:rsidRPr="003C5DA7">
        <w:rPr>
          <w:rFonts w:cs="Arial"/>
          <w:sz w:val="16"/>
          <w:szCs w:val="16"/>
        </w:rPr>
        <w:t>perations.</w:t>
      </w:r>
    </w:p>
    <w:p w14:paraId="19024B4A" w14:textId="57E98188" w:rsidR="007D65B9" w:rsidRPr="003C5DA7" w:rsidRDefault="006A25F8" w:rsidP="00391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cs="Arial"/>
          <w:sz w:val="16"/>
          <w:szCs w:val="16"/>
        </w:rPr>
      </w:pPr>
      <w:r w:rsidRPr="003C5DA7">
        <w:rPr>
          <w:rFonts w:cs="Arial"/>
          <w:sz w:val="16"/>
          <w:szCs w:val="16"/>
        </w:rPr>
        <w:t>(b)</w:t>
      </w:r>
      <w:r w:rsidRPr="003C5DA7">
        <w:rPr>
          <w:rFonts w:cs="Arial"/>
          <w:sz w:val="16"/>
          <w:szCs w:val="16"/>
        </w:rPr>
        <w:tab/>
        <w:t xml:space="preserve">The unrealised appreciation </w:t>
      </w:r>
      <w:r w:rsidR="001A5FB0" w:rsidRPr="003C5DA7">
        <w:rPr>
          <w:rFonts w:cs="Arial"/>
          <w:sz w:val="16"/>
          <w:szCs w:val="16"/>
        </w:rPr>
        <w:t>for</w:t>
      </w:r>
      <w:r w:rsidR="003C5DA7" w:rsidRPr="003C5DA7">
        <w:rPr>
          <w:rFonts w:cs="Arial"/>
          <w:sz w:val="16"/>
          <w:szCs w:val="16"/>
        </w:rPr>
        <w:t xml:space="preserve"> the year ended 31 December 2015</w:t>
      </w:r>
      <w:r w:rsidRPr="003C5DA7">
        <w:rPr>
          <w:rFonts w:cs="Arial"/>
          <w:sz w:val="16"/>
          <w:szCs w:val="16"/>
        </w:rPr>
        <w:t xml:space="preserve"> for sec</w:t>
      </w:r>
      <w:r w:rsidR="003C5DA7" w:rsidRPr="003C5DA7">
        <w:rPr>
          <w:rFonts w:cs="Arial"/>
          <w:sz w:val="16"/>
          <w:szCs w:val="16"/>
        </w:rPr>
        <w:t>urities held at 31 December 2015</w:t>
      </w:r>
      <w:r w:rsidR="001A5FB0" w:rsidRPr="003C5DA7">
        <w:rPr>
          <w:rFonts w:cs="Arial"/>
          <w:sz w:val="16"/>
          <w:szCs w:val="16"/>
        </w:rPr>
        <w:t xml:space="preserve"> are reflected in</w:t>
      </w:r>
      <w:r w:rsidRPr="003C5DA7">
        <w:rPr>
          <w:rFonts w:cs="Arial"/>
          <w:sz w:val="16"/>
          <w:szCs w:val="16"/>
        </w:rPr>
        <w:t xml:space="preserve"> net i</w:t>
      </w:r>
      <w:r w:rsidR="001A5FB0" w:rsidRPr="003C5DA7">
        <w:rPr>
          <w:rFonts w:cs="Arial"/>
          <w:sz w:val="16"/>
          <w:szCs w:val="16"/>
        </w:rPr>
        <w:t>nvestment loss allocated from the Master Fund and</w:t>
      </w:r>
      <w:r w:rsidRPr="003C5DA7">
        <w:rPr>
          <w:rFonts w:cs="Arial"/>
          <w:sz w:val="16"/>
          <w:szCs w:val="16"/>
        </w:rPr>
        <w:t xml:space="preserve"> net gain on securities in the S</w:t>
      </w:r>
      <w:r w:rsidR="001A5FB0" w:rsidRPr="003C5DA7">
        <w:rPr>
          <w:rFonts w:cs="Arial"/>
          <w:sz w:val="16"/>
          <w:szCs w:val="16"/>
        </w:rPr>
        <w:t>tatement</w:t>
      </w:r>
      <w:r w:rsidR="00BD2AEA" w:rsidRPr="003C5DA7">
        <w:rPr>
          <w:rFonts w:cs="Arial"/>
          <w:sz w:val="16"/>
          <w:szCs w:val="16"/>
        </w:rPr>
        <w:t>s</w:t>
      </w:r>
      <w:r w:rsidRPr="003C5DA7">
        <w:rPr>
          <w:rFonts w:cs="Arial"/>
          <w:sz w:val="16"/>
          <w:szCs w:val="16"/>
        </w:rPr>
        <w:t xml:space="preserve"> of O</w:t>
      </w:r>
      <w:r w:rsidR="001A5FB0" w:rsidRPr="003C5DA7">
        <w:rPr>
          <w:rFonts w:cs="Arial"/>
          <w:sz w:val="16"/>
          <w:szCs w:val="16"/>
        </w:rPr>
        <w:t>perations.</w:t>
      </w:r>
    </w:p>
    <w:p w14:paraId="080F1640" w14:textId="77777777" w:rsidR="00C24EB8" w:rsidRPr="00D25DF8" w:rsidRDefault="00C24EB8" w:rsidP="00391350">
      <w:pPr>
        <w:pStyle w:val="NormalWeb"/>
        <w:spacing w:before="0" w:beforeAutospacing="0" w:after="0" w:afterAutospacing="0"/>
        <w:jc w:val="both"/>
        <w:rPr>
          <w:rFonts w:ascii="Arial" w:hAnsi="Arial" w:cs="Arial"/>
          <w:color w:val="FF0000"/>
          <w:sz w:val="22"/>
          <w:szCs w:val="22"/>
        </w:rPr>
      </w:pPr>
    </w:p>
    <w:p w14:paraId="45D549DA" w14:textId="77777777" w:rsidR="00470906" w:rsidRPr="003C5DA7" w:rsidRDefault="00470906" w:rsidP="00391350">
      <w:pPr>
        <w:pStyle w:val="NormalWeb"/>
        <w:spacing w:before="0" w:beforeAutospacing="0" w:after="0" w:afterAutospacing="0"/>
        <w:jc w:val="both"/>
        <w:rPr>
          <w:rFonts w:ascii="Arial" w:hAnsi="Arial" w:cs="Arial"/>
          <w:sz w:val="22"/>
          <w:szCs w:val="22"/>
        </w:rPr>
      </w:pPr>
    </w:p>
    <w:p w14:paraId="227EF74E" w14:textId="10A5E1BB" w:rsidR="000E2639" w:rsidRPr="003C5DA7" w:rsidRDefault="001A5FB0" w:rsidP="00391350">
      <w:pPr>
        <w:jc w:val="both"/>
        <w:rPr>
          <w:rFonts w:cs="Arial"/>
          <w:b/>
          <w:szCs w:val="22"/>
        </w:rPr>
      </w:pPr>
      <w:r w:rsidRPr="003C5DA7">
        <w:rPr>
          <w:rFonts w:cs="Arial"/>
          <w:szCs w:val="22"/>
        </w:rPr>
        <w:t>Changes in Level 3 assets measured at fair value for t</w:t>
      </w:r>
      <w:r w:rsidR="003C5DA7" w:rsidRPr="003C5DA7">
        <w:rPr>
          <w:rFonts w:cs="Arial"/>
          <w:szCs w:val="22"/>
        </w:rPr>
        <w:t>he period ended 31 December 2014</w:t>
      </w:r>
      <w:r w:rsidRPr="003C5DA7">
        <w:rPr>
          <w:rFonts w:cs="Arial"/>
          <w:szCs w:val="22"/>
        </w:rPr>
        <w:t xml:space="preserve"> were as follows:</w:t>
      </w:r>
      <w:r w:rsidRPr="003C5DA7">
        <w:rPr>
          <w:rFonts w:cs="Arial"/>
          <w:b/>
          <w:szCs w:val="22"/>
        </w:rPr>
        <w:t xml:space="preserve"> </w:t>
      </w:r>
    </w:p>
    <w:p w14:paraId="7BE22D45" w14:textId="77777777" w:rsidR="00E343B0" w:rsidRPr="00D25DF8" w:rsidRDefault="00E343B0" w:rsidP="00391350">
      <w:pPr>
        <w:jc w:val="both"/>
        <w:rPr>
          <w:rFonts w:cs="Arial"/>
          <w:b/>
          <w:color w:val="FF0000"/>
          <w:szCs w:val="22"/>
        </w:rPr>
      </w:pPr>
    </w:p>
    <w:tbl>
      <w:tblPr>
        <w:tblW w:w="0" w:type="auto"/>
        <w:tblInd w:w="-34" w:type="dxa"/>
        <w:tblLook w:val="00A0" w:firstRow="1" w:lastRow="0" w:firstColumn="1" w:lastColumn="0" w:noHBand="0" w:noVBand="0"/>
      </w:tblPr>
      <w:tblGrid>
        <w:gridCol w:w="1702"/>
        <w:gridCol w:w="1275"/>
        <w:gridCol w:w="1276"/>
        <w:gridCol w:w="1080"/>
        <w:gridCol w:w="1613"/>
        <w:gridCol w:w="1843"/>
        <w:gridCol w:w="1487"/>
      </w:tblGrid>
      <w:tr w:rsidR="003C5DA7" w:rsidRPr="00D25DF8" w14:paraId="0EF73924" w14:textId="77777777" w:rsidTr="003C5DA7">
        <w:tc>
          <w:tcPr>
            <w:tcW w:w="1702" w:type="dxa"/>
            <w:tcBorders>
              <w:bottom w:val="single" w:sz="4" w:space="0" w:color="auto"/>
            </w:tcBorders>
            <w:vAlign w:val="bottom"/>
          </w:tcPr>
          <w:p w14:paraId="2EEFAA47" w14:textId="77777777" w:rsidR="003C5DA7" w:rsidRPr="00D25DF8" w:rsidRDefault="003C5DA7" w:rsidP="00391350">
            <w:pPr>
              <w:ind w:right="-108"/>
              <w:rPr>
                <w:rFonts w:cs="Arial"/>
                <w:b/>
                <w:color w:val="FF0000"/>
                <w:szCs w:val="22"/>
              </w:rPr>
            </w:pPr>
          </w:p>
        </w:tc>
        <w:tc>
          <w:tcPr>
            <w:tcW w:w="1275" w:type="dxa"/>
            <w:tcBorders>
              <w:bottom w:val="single" w:sz="4" w:space="0" w:color="auto"/>
            </w:tcBorders>
            <w:vAlign w:val="bottom"/>
          </w:tcPr>
          <w:p w14:paraId="3B642329" w14:textId="77777777" w:rsidR="003C5DA7" w:rsidRPr="003C5DA7" w:rsidRDefault="003C5DA7" w:rsidP="00391350">
            <w:pPr>
              <w:ind w:right="-108"/>
              <w:rPr>
                <w:rFonts w:cs="Arial"/>
                <w:b/>
                <w:sz w:val="14"/>
                <w:szCs w:val="14"/>
              </w:rPr>
            </w:pPr>
            <w:r w:rsidRPr="003C5DA7">
              <w:rPr>
                <w:rFonts w:cs="Arial"/>
                <w:b/>
                <w:sz w:val="14"/>
                <w:szCs w:val="14"/>
              </w:rPr>
              <w:t>Beginning</w:t>
            </w:r>
          </w:p>
          <w:p w14:paraId="0BA5ACAC" w14:textId="77777777" w:rsidR="003C5DA7" w:rsidRPr="003C5DA7" w:rsidRDefault="003C5DA7" w:rsidP="00391350">
            <w:pPr>
              <w:ind w:right="-108"/>
              <w:rPr>
                <w:rFonts w:cs="Arial"/>
                <w:b/>
                <w:sz w:val="14"/>
                <w:szCs w:val="14"/>
              </w:rPr>
            </w:pPr>
            <w:r w:rsidRPr="003C5DA7">
              <w:rPr>
                <w:rFonts w:cs="Arial"/>
                <w:b/>
                <w:sz w:val="14"/>
                <w:szCs w:val="14"/>
              </w:rPr>
              <w:t xml:space="preserve">Balance </w:t>
            </w:r>
          </w:p>
          <w:p w14:paraId="6DDDEE9D" w14:textId="622DC615" w:rsidR="003C5DA7" w:rsidRPr="003C5DA7" w:rsidRDefault="003C5DA7" w:rsidP="00391350">
            <w:pPr>
              <w:ind w:right="-108"/>
              <w:rPr>
                <w:rFonts w:cs="Arial"/>
                <w:b/>
                <w:sz w:val="14"/>
                <w:szCs w:val="14"/>
              </w:rPr>
            </w:pPr>
            <w:r w:rsidRPr="003C5DA7">
              <w:rPr>
                <w:rFonts w:cs="Arial"/>
                <w:b/>
                <w:sz w:val="14"/>
                <w:szCs w:val="14"/>
              </w:rPr>
              <w:t>1 Jan. 2014</w:t>
            </w:r>
          </w:p>
        </w:tc>
        <w:tc>
          <w:tcPr>
            <w:tcW w:w="1276" w:type="dxa"/>
            <w:tcBorders>
              <w:bottom w:val="single" w:sz="4" w:space="0" w:color="auto"/>
            </w:tcBorders>
            <w:vAlign w:val="bottom"/>
          </w:tcPr>
          <w:p w14:paraId="7617FCB6" w14:textId="77777777" w:rsidR="003C5DA7" w:rsidRPr="003C5DA7" w:rsidRDefault="003C5DA7" w:rsidP="00391350">
            <w:pPr>
              <w:ind w:right="-108"/>
              <w:rPr>
                <w:rFonts w:cs="Arial"/>
                <w:b/>
                <w:sz w:val="14"/>
                <w:szCs w:val="14"/>
              </w:rPr>
            </w:pPr>
            <w:r w:rsidRPr="003C5DA7">
              <w:rPr>
                <w:rFonts w:cs="Arial"/>
                <w:b/>
                <w:sz w:val="14"/>
                <w:szCs w:val="14"/>
              </w:rPr>
              <w:t xml:space="preserve">Realised and Unrealised </w:t>
            </w:r>
          </w:p>
          <w:p w14:paraId="1146BFBE" w14:textId="77777777" w:rsidR="003C5DA7" w:rsidRPr="003C5DA7" w:rsidRDefault="003C5DA7" w:rsidP="00391350">
            <w:pPr>
              <w:ind w:right="-108"/>
              <w:rPr>
                <w:rFonts w:cs="Arial"/>
                <w:b/>
                <w:sz w:val="14"/>
                <w:szCs w:val="14"/>
              </w:rPr>
            </w:pPr>
            <w:r w:rsidRPr="003C5DA7">
              <w:rPr>
                <w:rFonts w:cs="Arial"/>
                <w:b/>
                <w:sz w:val="14"/>
                <w:szCs w:val="14"/>
              </w:rPr>
              <w:t>Appreciation</w:t>
            </w:r>
          </w:p>
          <w:p w14:paraId="6236859B" w14:textId="50251425" w:rsidR="003C5DA7" w:rsidRPr="003C5DA7" w:rsidRDefault="00401150" w:rsidP="00391350">
            <w:pPr>
              <w:ind w:right="-108"/>
              <w:rPr>
                <w:rFonts w:cs="Arial"/>
                <w:b/>
                <w:sz w:val="14"/>
                <w:szCs w:val="14"/>
              </w:rPr>
            </w:pPr>
            <w:r>
              <w:rPr>
                <w:rFonts w:cs="Arial"/>
                <w:b/>
                <w:sz w:val="14"/>
                <w:szCs w:val="14"/>
              </w:rPr>
              <w:t>o</w:t>
            </w:r>
            <w:r w:rsidR="003C5DA7" w:rsidRPr="003C5DA7">
              <w:rPr>
                <w:rFonts w:cs="Arial"/>
                <w:b/>
                <w:sz w:val="14"/>
                <w:szCs w:val="14"/>
              </w:rPr>
              <w:t xml:space="preserve">n Securities (a)    </w:t>
            </w:r>
          </w:p>
        </w:tc>
        <w:tc>
          <w:tcPr>
            <w:tcW w:w="1080" w:type="dxa"/>
            <w:tcBorders>
              <w:bottom w:val="single" w:sz="4" w:space="0" w:color="auto"/>
            </w:tcBorders>
            <w:vAlign w:val="bottom"/>
          </w:tcPr>
          <w:p w14:paraId="60B0843E" w14:textId="77777777" w:rsidR="003C5DA7" w:rsidRPr="003C5DA7" w:rsidRDefault="003C5DA7" w:rsidP="00391350">
            <w:pPr>
              <w:ind w:right="-108"/>
              <w:rPr>
                <w:rFonts w:cs="Arial"/>
                <w:b/>
                <w:szCs w:val="22"/>
              </w:rPr>
            </w:pPr>
            <w:r w:rsidRPr="003C5DA7">
              <w:rPr>
                <w:rFonts w:cs="Arial"/>
                <w:b/>
                <w:sz w:val="14"/>
                <w:szCs w:val="14"/>
              </w:rPr>
              <w:t>Purchases</w:t>
            </w:r>
          </w:p>
        </w:tc>
        <w:tc>
          <w:tcPr>
            <w:tcW w:w="1613" w:type="dxa"/>
            <w:tcBorders>
              <w:bottom w:val="single" w:sz="4" w:space="0" w:color="auto"/>
            </w:tcBorders>
            <w:vAlign w:val="bottom"/>
          </w:tcPr>
          <w:p w14:paraId="6ECE1ECE" w14:textId="77777777" w:rsidR="003C5DA7" w:rsidRPr="003C5DA7" w:rsidRDefault="003C5DA7" w:rsidP="00391350">
            <w:pPr>
              <w:ind w:right="-108"/>
              <w:rPr>
                <w:rFonts w:cs="Arial"/>
                <w:b/>
                <w:szCs w:val="22"/>
              </w:rPr>
            </w:pPr>
            <w:r w:rsidRPr="003C5DA7">
              <w:rPr>
                <w:rFonts w:cs="Arial"/>
                <w:b/>
                <w:sz w:val="14"/>
                <w:szCs w:val="14"/>
              </w:rPr>
              <w:t>Sales</w:t>
            </w:r>
          </w:p>
        </w:tc>
        <w:tc>
          <w:tcPr>
            <w:tcW w:w="1843" w:type="dxa"/>
            <w:tcBorders>
              <w:bottom w:val="single" w:sz="4" w:space="0" w:color="auto"/>
            </w:tcBorders>
            <w:vAlign w:val="bottom"/>
          </w:tcPr>
          <w:p w14:paraId="0F864EEF" w14:textId="77777777" w:rsidR="003C5DA7" w:rsidRPr="003C5DA7" w:rsidRDefault="003C5DA7" w:rsidP="00391350">
            <w:pPr>
              <w:ind w:right="-108"/>
              <w:rPr>
                <w:rFonts w:cs="Arial"/>
                <w:b/>
                <w:sz w:val="14"/>
                <w:szCs w:val="14"/>
                <w:u w:val="single"/>
              </w:rPr>
            </w:pPr>
            <w:r w:rsidRPr="003C5DA7">
              <w:rPr>
                <w:rFonts w:cs="Arial"/>
                <w:b/>
                <w:sz w:val="14"/>
                <w:szCs w:val="14"/>
              </w:rPr>
              <w:t>Ending</w:t>
            </w:r>
            <w:r w:rsidRPr="003C5DA7">
              <w:rPr>
                <w:rFonts w:cs="Arial"/>
                <w:b/>
                <w:sz w:val="14"/>
                <w:szCs w:val="14"/>
                <w:u w:val="single"/>
              </w:rPr>
              <w:t xml:space="preserve"> </w:t>
            </w:r>
          </w:p>
          <w:p w14:paraId="2E8ED73B" w14:textId="77777777" w:rsidR="003C5DA7" w:rsidRPr="003C5DA7" w:rsidRDefault="003C5DA7" w:rsidP="00391350">
            <w:pPr>
              <w:ind w:right="-108"/>
              <w:rPr>
                <w:rFonts w:cs="Arial"/>
                <w:b/>
                <w:sz w:val="14"/>
                <w:szCs w:val="14"/>
                <w:u w:val="single"/>
              </w:rPr>
            </w:pPr>
            <w:r w:rsidRPr="003C5DA7">
              <w:rPr>
                <w:rFonts w:cs="Arial"/>
                <w:b/>
                <w:sz w:val="14"/>
                <w:szCs w:val="14"/>
              </w:rPr>
              <w:t>Balance</w:t>
            </w:r>
            <w:r w:rsidRPr="003C5DA7">
              <w:rPr>
                <w:rFonts w:cs="Arial"/>
                <w:b/>
                <w:sz w:val="14"/>
                <w:szCs w:val="14"/>
                <w:u w:val="single"/>
              </w:rPr>
              <w:t xml:space="preserve"> </w:t>
            </w:r>
          </w:p>
          <w:p w14:paraId="38E3B2F3" w14:textId="6FBDCE86" w:rsidR="003C5DA7" w:rsidRPr="003C5DA7" w:rsidRDefault="003C5DA7" w:rsidP="00391350">
            <w:pPr>
              <w:ind w:right="-108"/>
              <w:rPr>
                <w:rFonts w:cs="Arial"/>
                <w:b/>
                <w:sz w:val="14"/>
                <w:szCs w:val="14"/>
                <w:u w:val="single"/>
              </w:rPr>
            </w:pPr>
            <w:r w:rsidRPr="003C5DA7">
              <w:rPr>
                <w:rFonts w:cs="Arial"/>
                <w:b/>
                <w:sz w:val="14"/>
                <w:szCs w:val="14"/>
              </w:rPr>
              <w:t>31 Dec. 2014</w:t>
            </w:r>
          </w:p>
        </w:tc>
        <w:tc>
          <w:tcPr>
            <w:tcW w:w="1487" w:type="dxa"/>
            <w:tcBorders>
              <w:bottom w:val="single" w:sz="4" w:space="0" w:color="auto"/>
            </w:tcBorders>
            <w:vAlign w:val="bottom"/>
          </w:tcPr>
          <w:p w14:paraId="1254D6D1" w14:textId="77777777" w:rsidR="003C5DA7" w:rsidRPr="003C5DA7" w:rsidRDefault="003C5DA7" w:rsidP="00391350">
            <w:pPr>
              <w:ind w:right="-108"/>
              <w:rPr>
                <w:rFonts w:cs="Arial"/>
                <w:b/>
                <w:sz w:val="14"/>
                <w:szCs w:val="14"/>
              </w:rPr>
            </w:pPr>
          </w:p>
          <w:p w14:paraId="5BC1CECA" w14:textId="77777777" w:rsidR="003C5DA7" w:rsidRPr="003C5DA7" w:rsidRDefault="003C5DA7" w:rsidP="00391350">
            <w:pPr>
              <w:ind w:right="-108"/>
              <w:rPr>
                <w:rFonts w:cs="Arial"/>
                <w:b/>
                <w:sz w:val="14"/>
                <w:szCs w:val="14"/>
              </w:rPr>
            </w:pPr>
            <w:r w:rsidRPr="003C5DA7">
              <w:rPr>
                <w:rFonts w:cs="Arial"/>
                <w:b/>
                <w:sz w:val="14"/>
                <w:szCs w:val="14"/>
              </w:rPr>
              <w:t>Unrealised</w:t>
            </w:r>
          </w:p>
          <w:p w14:paraId="3527046F" w14:textId="77777777" w:rsidR="003C5DA7" w:rsidRPr="003C5DA7" w:rsidRDefault="003C5DA7" w:rsidP="00391350">
            <w:pPr>
              <w:ind w:right="-108"/>
              <w:rPr>
                <w:rFonts w:cs="Arial"/>
                <w:b/>
                <w:sz w:val="14"/>
                <w:szCs w:val="14"/>
              </w:rPr>
            </w:pPr>
            <w:r w:rsidRPr="003C5DA7">
              <w:rPr>
                <w:rFonts w:cs="Arial"/>
                <w:b/>
                <w:sz w:val="14"/>
                <w:szCs w:val="14"/>
              </w:rPr>
              <w:t>Appreciation</w:t>
            </w:r>
          </w:p>
          <w:p w14:paraId="34E1E320" w14:textId="3982BCFD" w:rsidR="003C5DA7" w:rsidRPr="003C5DA7" w:rsidRDefault="00401150" w:rsidP="00391350">
            <w:pPr>
              <w:ind w:right="-108"/>
              <w:rPr>
                <w:rFonts w:cs="Arial"/>
                <w:b/>
                <w:sz w:val="14"/>
                <w:szCs w:val="14"/>
              </w:rPr>
            </w:pPr>
            <w:r>
              <w:rPr>
                <w:rFonts w:cs="Arial"/>
                <w:b/>
                <w:sz w:val="14"/>
                <w:szCs w:val="14"/>
              </w:rPr>
              <w:t>o</w:t>
            </w:r>
            <w:r w:rsidR="003C5DA7" w:rsidRPr="003C5DA7">
              <w:rPr>
                <w:rFonts w:cs="Arial"/>
                <w:b/>
                <w:sz w:val="14"/>
                <w:szCs w:val="14"/>
              </w:rPr>
              <w:t>n Securities</w:t>
            </w:r>
          </w:p>
          <w:p w14:paraId="58D3236E" w14:textId="77777777" w:rsidR="003C5DA7" w:rsidRPr="003C5DA7" w:rsidRDefault="003C5DA7" w:rsidP="00391350">
            <w:pPr>
              <w:ind w:right="-108"/>
              <w:rPr>
                <w:rFonts w:cs="Arial"/>
                <w:b/>
                <w:sz w:val="14"/>
                <w:szCs w:val="14"/>
              </w:rPr>
            </w:pPr>
            <w:r w:rsidRPr="003C5DA7">
              <w:rPr>
                <w:rFonts w:cs="Arial"/>
                <w:b/>
                <w:sz w:val="14"/>
                <w:szCs w:val="14"/>
              </w:rPr>
              <w:t>held at</w:t>
            </w:r>
          </w:p>
          <w:p w14:paraId="370326E0" w14:textId="6C7EA655" w:rsidR="003C5DA7" w:rsidRPr="003C5DA7" w:rsidRDefault="003C5DA7" w:rsidP="00391350">
            <w:pPr>
              <w:ind w:right="-108"/>
              <w:rPr>
                <w:rFonts w:cs="Arial"/>
                <w:b/>
                <w:sz w:val="14"/>
                <w:szCs w:val="14"/>
              </w:rPr>
            </w:pPr>
            <w:r w:rsidRPr="003C5DA7">
              <w:rPr>
                <w:rFonts w:cs="Arial"/>
                <w:b/>
                <w:sz w:val="14"/>
                <w:szCs w:val="14"/>
              </w:rPr>
              <w:t xml:space="preserve">31 Dec. 2014 (b)      </w:t>
            </w:r>
          </w:p>
        </w:tc>
      </w:tr>
      <w:tr w:rsidR="003C5DA7" w:rsidRPr="00D25DF8" w14:paraId="13034D9D" w14:textId="77777777" w:rsidTr="003C5DA7">
        <w:tc>
          <w:tcPr>
            <w:tcW w:w="2977" w:type="dxa"/>
            <w:gridSpan w:val="2"/>
            <w:tcBorders>
              <w:top w:val="single" w:sz="4" w:space="0" w:color="auto"/>
            </w:tcBorders>
          </w:tcPr>
          <w:p w14:paraId="3D57E4C8" w14:textId="77777777" w:rsidR="003C5DA7" w:rsidRPr="003C5DA7" w:rsidRDefault="003C5DA7" w:rsidP="00391350">
            <w:pPr>
              <w:rPr>
                <w:rFonts w:cs="Arial"/>
                <w:sz w:val="16"/>
                <w:szCs w:val="16"/>
                <w:u w:val="single"/>
              </w:rPr>
            </w:pPr>
            <w:r w:rsidRPr="003C5DA7">
              <w:rPr>
                <w:rFonts w:cs="Arial"/>
                <w:b/>
                <w:sz w:val="16"/>
                <w:szCs w:val="16"/>
              </w:rPr>
              <w:t xml:space="preserve">Assets </w:t>
            </w:r>
            <w:r w:rsidRPr="003C5DA7">
              <w:rPr>
                <w:rFonts w:cs="Arial"/>
                <w:sz w:val="16"/>
                <w:szCs w:val="16"/>
              </w:rPr>
              <w:t>(at fair value)</w:t>
            </w:r>
          </w:p>
          <w:p w14:paraId="6FF0AA2A" w14:textId="77777777" w:rsidR="003C5DA7" w:rsidRPr="003C5DA7" w:rsidRDefault="003C5DA7" w:rsidP="00391350">
            <w:pPr>
              <w:ind w:right="-108"/>
              <w:rPr>
                <w:rFonts w:cs="Arial"/>
                <w:b/>
                <w:szCs w:val="22"/>
              </w:rPr>
            </w:pPr>
          </w:p>
        </w:tc>
        <w:tc>
          <w:tcPr>
            <w:tcW w:w="1276" w:type="dxa"/>
            <w:tcBorders>
              <w:top w:val="single" w:sz="4" w:space="0" w:color="auto"/>
            </w:tcBorders>
          </w:tcPr>
          <w:p w14:paraId="7EBD0178" w14:textId="77777777" w:rsidR="003C5DA7" w:rsidRPr="003C5DA7" w:rsidRDefault="003C5DA7" w:rsidP="00391350">
            <w:pPr>
              <w:ind w:right="-108"/>
              <w:rPr>
                <w:rFonts w:cs="Arial"/>
                <w:b/>
                <w:szCs w:val="22"/>
              </w:rPr>
            </w:pPr>
          </w:p>
        </w:tc>
        <w:tc>
          <w:tcPr>
            <w:tcW w:w="1080" w:type="dxa"/>
            <w:tcBorders>
              <w:top w:val="single" w:sz="4" w:space="0" w:color="auto"/>
            </w:tcBorders>
          </w:tcPr>
          <w:p w14:paraId="33EE4E4F" w14:textId="77777777" w:rsidR="003C5DA7" w:rsidRPr="003C5DA7" w:rsidRDefault="003C5DA7" w:rsidP="00391350">
            <w:pPr>
              <w:ind w:right="-108"/>
              <w:rPr>
                <w:rFonts w:cs="Arial"/>
                <w:b/>
                <w:szCs w:val="22"/>
              </w:rPr>
            </w:pPr>
          </w:p>
        </w:tc>
        <w:tc>
          <w:tcPr>
            <w:tcW w:w="1613" w:type="dxa"/>
            <w:tcBorders>
              <w:top w:val="single" w:sz="4" w:space="0" w:color="auto"/>
            </w:tcBorders>
          </w:tcPr>
          <w:p w14:paraId="583EEDF6" w14:textId="77777777" w:rsidR="003C5DA7" w:rsidRPr="003C5DA7" w:rsidRDefault="003C5DA7" w:rsidP="00391350">
            <w:pPr>
              <w:ind w:right="-108"/>
              <w:rPr>
                <w:rFonts w:cs="Arial"/>
                <w:b/>
                <w:szCs w:val="22"/>
              </w:rPr>
            </w:pPr>
          </w:p>
        </w:tc>
        <w:tc>
          <w:tcPr>
            <w:tcW w:w="1843" w:type="dxa"/>
            <w:tcBorders>
              <w:top w:val="single" w:sz="4" w:space="0" w:color="auto"/>
            </w:tcBorders>
          </w:tcPr>
          <w:p w14:paraId="6E7B69C9" w14:textId="77777777" w:rsidR="003C5DA7" w:rsidRPr="003C5DA7" w:rsidRDefault="003C5DA7" w:rsidP="00391350">
            <w:pPr>
              <w:ind w:right="-108"/>
              <w:rPr>
                <w:rFonts w:cs="Arial"/>
                <w:b/>
                <w:szCs w:val="22"/>
              </w:rPr>
            </w:pPr>
          </w:p>
        </w:tc>
        <w:tc>
          <w:tcPr>
            <w:tcW w:w="1487" w:type="dxa"/>
            <w:tcBorders>
              <w:top w:val="single" w:sz="4" w:space="0" w:color="auto"/>
            </w:tcBorders>
          </w:tcPr>
          <w:p w14:paraId="0F9645E0" w14:textId="77777777" w:rsidR="003C5DA7" w:rsidRPr="003C5DA7" w:rsidRDefault="003C5DA7" w:rsidP="00391350">
            <w:pPr>
              <w:ind w:right="-108"/>
              <w:rPr>
                <w:rFonts w:cs="Arial"/>
                <w:b/>
                <w:szCs w:val="22"/>
              </w:rPr>
            </w:pPr>
          </w:p>
        </w:tc>
      </w:tr>
      <w:tr w:rsidR="003C5DA7" w:rsidRPr="00D25DF8" w14:paraId="5D0E529F" w14:textId="77777777" w:rsidTr="003C5DA7">
        <w:tc>
          <w:tcPr>
            <w:tcW w:w="1702" w:type="dxa"/>
            <w:tcBorders>
              <w:bottom w:val="single" w:sz="4" w:space="0" w:color="auto"/>
            </w:tcBorders>
          </w:tcPr>
          <w:p w14:paraId="00C52C19" w14:textId="77777777" w:rsidR="003C5DA7" w:rsidRPr="003C5DA7" w:rsidRDefault="003C5DA7" w:rsidP="00391350">
            <w:pPr>
              <w:tabs>
                <w:tab w:val="left" w:pos="3240"/>
                <w:tab w:val="left" w:pos="3330"/>
                <w:tab w:val="left" w:pos="4770"/>
                <w:tab w:val="left" w:pos="7470"/>
              </w:tabs>
              <w:rPr>
                <w:rFonts w:cs="Arial"/>
                <w:sz w:val="16"/>
                <w:szCs w:val="16"/>
              </w:rPr>
            </w:pPr>
            <w:r w:rsidRPr="003C5DA7">
              <w:rPr>
                <w:rFonts w:cs="Arial"/>
                <w:sz w:val="16"/>
                <w:szCs w:val="16"/>
              </w:rPr>
              <w:t xml:space="preserve">Investments in </w:t>
            </w:r>
          </w:p>
          <w:p w14:paraId="27396711" w14:textId="77777777" w:rsidR="003C5DA7" w:rsidRPr="003C5DA7" w:rsidRDefault="003C5DA7" w:rsidP="00391350">
            <w:pPr>
              <w:ind w:right="-108"/>
              <w:rPr>
                <w:rFonts w:cs="Arial"/>
                <w:b/>
                <w:szCs w:val="22"/>
              </w:rPr>
            </w:pPr>
            <w:r w:rsidRPr="003C5DA7">
              <w:rPr>
                <w:rFonts w:cs="Arial"/>
                <w:sz w:val="16"/>
                <w:szCs w:val="16"/>
              </w:rPr>
              <w:t>Master Fund</w:t>
            </w:r>
          </w:p>
        </w:tc>
        <w:tc>
          <w:tcPr>
            <w:tcW w:w="1275" w:type="dxa"/>
            <w:tcBorders>
              <w:bottom w:val="single" w:sz="4" w:space="0" w:color="auto"/>
            </w:tcBorders>
            <w:vAlign w:val="bottom"/>
          </w:tcPr>
          <w:p w14:paraId="6033C28E" w14:textId="6798FED0" w:rsidR="003C5DA7" w:rsidRPr="003C5DA7" w:rsidRDefault="003C5DA7" w:rsidP="003C5DA7">
            <w:pPr>
              <w:ind w:right="-108"/>
              <w:rPr>
                <w:rFonts w:cs="Arial"/>
                <w:b/>
                <w:szCs w:val="22"/>
              </w:rPr>
            </w:pPr>
            <w:r w:rsidRPr="003C5DA7">
              <w:rPr>
                <w:rFonts w:cs="Arial"/>
                <w:sz w:val="16"/>
                <w:szCs w:val="16"/>
              </w:rPr>
              <w:t>$408,828,848</w:t>
            </w:r>
          </w:p>
        </w:tc>
        <w:tc>
          <w:tcPr>
            <w:tcW w:w="1276" w:type="dxa"/>
            <w:tcBorders>
              <w:bottom w:val="single" w:sz="4" w:space="0" w:color="auto"/>
            </w:tcBorders>
            <w:vAlign w:val="bottom"/>
          </w:tcPr>
          <w:p w14:paraId="3CBB9C96" w14:textId="164948D4" w:rsidR="003C5DA7" w:rsidRPr="003C5DA7" w:rsidRDefault="003C5DA7" w:rsidP="003C5DA7">
            <w:pPr>
              <w:ind w:right="-108"/>
              <w:rPr>
                <w:rFonts w:cs="Arial"/>
                <w:b/>
                <w:szCs w:val="22"/>
              </w:rPr>
            </w:pPr>
            <w:r w:rsidRPr="003C5DA7">
              <w:rPr>
                <w:rFonts w:cs="Arial"/>
                <w:sz w:val="16"/>
                <w:szCs w:val="16"/>
              </w:rPr>
              <w:t>$</w:t>
            </w:r>
            <w:r w:rsidR="0067084F">
              <w:rPr>
                <w:rFonts w:cs="Arial"/>
                <w:sz w:val="16"/>
                <w:szCs w:val="16"/>
              </w:rPr>
              <w:t>49,573,425</w:t>
            </w:r>
            <w:r w:rsidRPr="003C5DA7">
              <w:rPr>
                <w:rFonts w:cs="Arial"/>
                <w:sz w:val="16"/>
                <w:szCs w:val="16"/>
              </w:rPr>
              <w:t xml:space="preserve"> </w:t>
            </w:r>
          </w:p>
        </w:tc>
        <w:tc>
          <w:tcPr>
            <w:tcW w:w="1080" w:type="dxa"/>
            <w:tcBorders>
              <w:bottom w:val="single" w:sz="4" w:space="0" w:color="auto"/>
            </w:tcBorders>
            <w:vAlign w:val="bottom"/>
          </w:tcPr>
          <w:p w14:paraId="0473044E" w14:textId="64CC77E8" w:rsidR="003C5DA7" w:rsidRPr="003C5DA7" w:rsidRDefault="003C5DA7" w:rsidP="00391350">
            <w:pPr>
              <w:ind w:right="-108"/>
              <w:rPr>
                <w:rFonts w:cs="Arial"/>
                <w:b/>
                <w:szCs w:val="22"/>
              </w:rPr>
            </w:pPr>
            <w:r w:rsidRPr="003C5DA7">
              <w:rPr>
                <w:rFonts w:cs="Arial"/>
                <w:sz w:val="16"/>
                <w:szCs w:val="16"/>
              </w:rPr>
              <w:t>$10,300,000</w:t>
            </w:r>
          </w:p>
        </w:tc>
        <w:tc>
          <w:tcPr>
            <w:tcW w:w="1613" w:type="dxa"/>
            <w:tcBorders>
              <w:bottom w:val="single" w:sz="4" w:space="0" w:color="auto"/>
            </w:tcBorders>
            <w:vAlign w:val="bottom"/>
          </w:tcPr>
          <w:p w14:paraId="4B78E7B2" w14:textId="72ED959D" w:rsidR="003C5DA7" w:rsidRPr="003C5DA7" w:rsidRDefault="003C5DA7" w:rsidP="00391350">
            <w:pPr>
              <w:ind w:right="-108"/>
              <w:rPr>
                <w:rFonts w:cs="Arial"/>
                <w:b/>
                <w:szCs w:val="22"/>
              </w:rPr>
            </w:pPr>
            <w:r w:rsidRPr="003C5DA7">
              <w:rPr>
                <w:rFonts w:cs="Arial"/>
                <w:sz w:val="16"/>
                <w:szCs w:val="16"/>
              </w:rPr>
              <w:t>$ (104,902,113)</w:t>
            </w:r>
          </w:p>
        </w:tc>
        <w:tc>
          <w:tcPr>
            <w:tcW w:w="1843" w:type="dxa"/>
            <w:tcBorders>
              <w:bottom w:val="single" w:sz="4" w:space="0" w:color="auto"/>
            </w:tcBorders>
            <w:vAlign w:val="bottom"/>
          </w:tcPr>
          <w:p w14:paraId="13C65DBA" w14:textId="31324672" w:rsidR="003C5DA7" w:rsidRPr="003C5DA7" w:rsidRDefault="003C5DA7" w:rsidP="003C5DA7">
            <w:pPr>
              <w:ind w:right="-108"/>
              <w:rPr>
                <w:rFonts w:cs="Arial"/>
                <w:b/>
                <w:szCs w:val="22"/>
              </w:rPr>
            </w:pPr>
            <w:r w:rsidRPr="003C5DA7">
              <w:rPr>
                <w:rFonts w:cs="Arial"/>
                <w:sz w:val="16"/>
                <w:szCs w:val="16"/>
              </w:rPr>
              <w:t>$363,800,160</w:t>
            </w:r>
          </w:p>
        </w:tc>
        <w:tc>
          <w:tcPr>
            <w:tcW w:w="1487" w:type="dxa"/>
            <w:tcBorders>
              <w:bottom w:val="single" w:sz="4" w:space="0" w:color="auto"/>
            </w:tcBorders>
            <w:vAlign w:val="bottom"/>
          </w:tcPr>
          <w:p w14:paraId="3C06699C" w14:textId="5A55E94C" w:rsidR="003C5DA7" w:rsidRPr="003C5DA7" w:rsidRDefault="003C5DA7" w:rsidP="003C5DA7">
            <w:pPr>
              <w:ind w:right="-108"/>
              <w:rPr>
                <w:rFonts w:cs="Arial"/>
                <w:b/>
                <w:szCs w:val="22"/>
              </w:rPr>
            </w:pPr>
            <w:r w:rsidRPr="003C5DA7">
              <w:rPr>
                <w:rFonts w:cs="Arial"/>
                <w:sz w:val="16"/>
                <w:szCs w:val="16"/>
              </w:rPr>
              <w:t>$47,043,025</w:t>
            </w:r>
          </w:p>
        </w:tc>
      </w:tr>
    </w:tbl>
    <w:p w14:paraId="09848C82" w14:textId="77777777" w:rsidR="00834A8C" w:rsidRPr="003C5DA7" w:rsidRDefault="00834A8C" w:rsidP="00391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cs="Arial"/>
          <w:szCs w:val="22"/>
        </w:rPr>
      </w:pPr>
    </w:p>
    <w:p w14:paraId="3D0F1C89" w14:textId="7A9F4B43" w:rsidR="00B23E41" w:rsidRPr="003C5DA7" w:rsidRDefault="001A5FB0" w:rsidP="00391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cs="Arial"/>
          <w:sz w:val="16"/>
          <w:szCs w:val="16"/>
        </w:rPr>
      </w:pPr>
      <w:r w:rsidRPr="003C5DA7">
        <w:rPr>
          <w:rFonts w:cs="Arial"/>
          <w:szCs w:val="22"/>
        </w:rPr>
        <w:t xml:space="preserve"> </w:t>
      </w:r>
      <w:r w:rsidRPr="003C5DA7">
        <w:rPr>
          <w:rFonts w:cs="Arial"/>
          <w:sz w:val="16"/>
          <w:szCs w:val="16"/>
        </w:rPr>
        <w:t>(a)</w:t>
      </w:r>
      <w:r w:rsidRPr="003C5DA7">
        <w:rPr>
          <w:rFonts w:cs="Arial"/>
          <w:sz w:val="16"/>
          <w:szCs w:val="16"/>
        </w:rPr>
        <w:tab/>
      </w:r>
      <w:r w:rsidR="006A25F8" w:rsidRPr="003C5DA7">
        <w:rPr>
          <w:rFonts w:cs="Arial"/>
          <w:sz w:val="16"/>
          <w:szCs w:val="16"/>
        </w:rPr>
        <w:t>Realised and unrealised appreciation on securities are both included in net investment</w:t>
      </w:r>
      <w:r w:rsidR="00401150">
        <w:rPr>
          <w:rFonts w:cs="Arial"/>
          <w:sz w:val="16"/>
          <w:szCs w:val="16"/>
        </w:rPr>
        <w:t>s</w:t>
      </w:r>
      <w:r w:rsidR="006A25F8" w:rsidRPr="003C5DA7">
        <w:rPr>
          <w:rFonts w:cs="Arial"/>
          <w:sz w:val="16"/>
          <w:szCs w:val="16"/>
        </w:rPr>
        <w:t xml:space="preserve"> loss allocated from the Master Fund and net gain on securities in the Statements of Operations.</w:t>
      </w:r>
    </w:p>
    <w:p w14:paraId="07C68E49" w14:textId="4C1738FC" w:rsidR="00B23E41" w:rsidRPr="003C5DA7" w:rsidRDefault="001A5FB0" w:rsidP="00391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cs="Arial"/>
          <w:sz w:val="16"/>
          <w:szCs w:val="16"/>
        </w:rPr>
      </w:pPr>
      <w:r w:rsidRPr="003C5DA7">
        <w:rPr>
          <w:rFonts w:cs="Arial"/>
          <w:sz w:val="16"/>
          <w:szCs w:val="16"/>
        </w:rPr>
        <w:t>(b)</w:t>
      </w:r>
      <w:r w:rsidRPr="003C5DA7">
        <w:rPr>
          <w:rFonts w:cs="Arial"/>
          <w:sz w:val="16"/>
          <w:szCs w:val="16"/>
        </w:rPr>
        <w:tab/>
      </w:r>
      <w:r w:rsidR="006A25F8" w:rsidRPr="003C5DA7">
        <w:rPr>
          <w:rFonts w:cs="Arial"/>
          <w:sz w:val="16"/>
          <w:szCs w:val="16"/>
        </w:rPr>
        <w:t>The unrealised appreciation for</w:t>
      </w:r>
      <w:r w:rsidR="003C5DA7" w:rsidRPr="003C5DA7">
        <w:rPr>
          <w:rFonts w:cs="Arial"/>
          <w:sz w:val="16"/>
          <w:szCs w:val="16"/>
        </w:rPr>
        <w:t xml:space="preserve"> the year ended 31 December 2014</w:t>
      </w:r>
      <w:r w:rsidR="006A25F8" w:rsidRPr="003C5DA7">
        <w:rPr>
          <w:rFonts w:cs="Arial"/>
          <w:sz w:val="16"/>
          <w:szCs w:val="16"/>
        </w:rPr>
        <w:t xml:space="preserve"> for securities </w:t>
      </w:r>
      <w:r w:rsidR="00401150">
        <w:rPr>
          <w:rFonts w:cs="Arial"/>
          <w:sz w:val="16"/>
          <w:szCs w:val="16"/>
        </w:rPr>
        <w:t xml:space="preserve">still </w:t>
      </w:r>
      <w:r w:rsidR="006A25F8" w:rsidRPr="003C5DA7">
        <w:rPr>
          <w:rFonts w:cs="Arial"/>
          <w:sz w:val="16"/>
          <w:szCs w:val="16"/>
        </w:rPr>
        <w:t>held at 31 Dec</w:t>
      </w:r>
      <w:r w:rsidR="003C5DA7" w:rsidRPr="003C5DA7">
        <w:rPr>
          <w:rFonts w:cs="Arial"/>
          <w:sz w:val="16"/>
          <w:szCs w:val="16"/>
        </w:rPr>
        <w:t>ember 2014</w:t>
      </w:r>
      <w:r w:rsidR="006A25F8" w:rsidRPr="003C5DA7">
        <w:rPr>
          <w:rFonts w:cs="Arial"/>
          <w:sz w:val="16"/>
          <w:szCs w:val="16"/>
        </w:rPr>
        <w:t xml:space="preserve"> are reflected in net investment loss allocated from the Master Fund and net gain on securities in the Statements of Operations.</w:t>
      </w:r>
    </w:p>
    <w:p w14:paraId="674D4A2D" w14:textId="77777777" w:rsidR="000E2639" w:rsidRPr="00D25DF8" w:rsidRDefault="000E2639" w:rsidP="00391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FF0000"/>
          <w:szCs w:val="22"/>
        </w:rPr>
      </w:pPr>
    </w:p>
    <w:p w14:paraId="1B23A160" w14:textId="77777777" w:rsidR="00470906" w:rsidRPr="003C5DA7" w:rsidRDefault="00470906" w:rsidP="00391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p>
    <w:p w14:paraId="40F2B179" w14:textId="77777777" w:rsidR="000E2639" w:rsidRPr="003C5DA7" w:rsidRDefault="001A5FB0" w:rsidP="00391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r w:rsidRPr="003C5DA7">
        <w:rPr>
          <w:rFonts w:cs="Arial"/>
          <w:szCs w:val="22"/>
        </w:rPr>
        <w:t>The table below summarises information about the significant unobservable inputs used in determining the fair value of the Master Fund’s Level 3 assets:</w:t>
      </w:r>
    </w:p>
    <w:p w14:paraId="398F4161" w14:textId="77777777" w:rsidR="00B23E41" w:rsidRPr="003C5DA7" w:rsidRDefault="00B23E41" w:rsidP="00391350">
      <w:pPr>
        <w:ind w:right="-108"/>
        <w:rPr>
          <w:rFonts w:cs="Arial"/>
          <w:b/>
          <w:szCs w:val="22"/>
        </w:rPr>
      </w:pPr>
    </w:p>
    <w:tbl>
      <w:tblPr>
        <w:tblW w:w="0" w:type="auto"/>
        <w:tblInd w:w="-34" w:type="dxa"/>
        <w:tblLook w:val="00A0" w:firstRow="1" w:lastRow="0" w:firstColumn="1" w:lastColumn="0" w:noHBand="0" w:noVBand="0"/>
      </w:tblPr>
      <w:tblGrid>
        <w:gridCol w:w="1843"/>
        <w:gridCol w:w="1560"/>
        <w:gridCol w:w="4394"/>
        <w:gridCol w:w="2515"/>
      </w:tblGrid>
      <w:tr w:rsidR="003A6C5D" w:rsidRPr="003C5DA7" w14:paraId="58648AF4" w14:textId="77777777" w:rsidTr="0067084F">
        <w:trPr>
          <w:trHeight w:val="481"/>
        </w:trPr>
        <w:tc>
          <w:tcPr>
            <w:tcW w:w="1843" w:type="dxa"/>
          </w:tcPr>
          <w:p w14:paraId="5F324DD8" w14:textId="77777777" w:rsidR="004F6EDF" w:rsidRDefault="004F6EDF" w:rsidP="004F6EDF">
            <w:pPr>
              <w:ind w:right="-108"/>
              <w:rPr>
                <w:rFonts w:cs="Arial"/>
                <w:b/>
                <w:sz w:val="16"/>
                <w:szCs w:val="16"/>
              </w:rPr>
            </w:pPr>
            <w:r w:rsidRPr="00401150">
              <w:rPr>
                <w:rFonts w:cs="Arial"/>
                <w:b/>
                <w:sz w:val="16"/>
                <w:szCs w:val="16"/>
              </w:rPr>
              <w:t xml:space="preserve">Type of </w:t>
            </w:r>
          </w:p>
          <w:p w14:paraId="47CBF896" w14:textId="27E1355B" w:rsidR="003A6C5D" w:rsidRPr="003C5DA7" w:rsidRDefault="004F6EDF" w:rsidP="004F6EDF">
            <w:pPr>
              <w:ind w:right="-108"/>
              <w:rPr>
                <w:rFonts w:cs="Arial"/>
                <w:b/>
                <w:szCs w:val="22"/>
              </w:rPr>
            </w:pPr>
            <w:r w:rsidRPr="00401150">
              <w:rPr>
                <w:rFonts w:cs="Arial"/>
                <w:b/>
                <w:sz w:val="16"/>
                <w:szCs w:val="16"/>
              </w:rPr>
              <w:t>Investment</w:t>
            </w:r>
          </w:p>
        </w:tc>
        <w:tc>
          <w:tcPr>
            <w:tcW w:w="1560" w:type="dxa"/>
          </w:tcPr>
          <w:p w14:paraId="770C5DDE" w14:textId="77777777" w:rsidR="003A6C5D" w:rsidRPr="003C5DA7" w:rsidRDefault="001A5FB0" w:rsidP="00766353">
            <w:pPr>
              <w:ind w:right="-108"/>
              <w:jc w:val="right"/>
              <w:rPr>
                <w:rFonts w:cs="Arial"/>
                <w:b/>
                <w:sz w:val="16"/>
                <w:szCs w:val="16"/>
              </w:rPr>
            </w:pPr>
            <w:r w:rsidRPr="003C5DA7">
              <w:rPr>
                <w:rFonts w:cs="Arial"/>
                <w:b/>
                <w:sz w:val="16"/>
                <w:szCs w:val="16"/>
              </w:rPr>
              <w:t xml:space="preserve">Valuation </w:t>
            </w:r>
          </w:p>
          <w:p w14:paraId="307A0383" w14:textId="77777777" w:rsidR="003A6C5D" w:rsidRPr="003C5DA7" w:rsidRDefault="001A5FB0" w:rsidP="00766353">
            <w:pPr>
              <w:ind w:right="-108"/>
              <w:jc w:val="right"/>
              <w:rPr>
                <w:rFonts w:cs="Arial"/>
                <w:b/>
                <w:sz w:val="16"/>
                <w:szCs w:val="16"/>
              </w:rPr>
            </w:pPr>
            <w:r w:rsidRPr="003C5DA7">
              <w:rPr>
                <w:rFonts w:cs="Arial"/>
                <w:b/>
                <w:sz w:val="16"/>
                <w:szCs w:val="16"/>
              </w:rPr>
              <w:t xml:space="preserve">Technique     </w:t>
            </w:r>
          </w:p>
        </w:tc>
        <w:tc>
          <w:tcPr>
            <w:tcW w:w="4394" w:type="dxa"/>
          </w:tcPr>
          <w:p w14:paraId="53E587CA" w14:textId="77777777" w:rsidR="003A6C5D" w:rsidRPr="003C5DA7" w:rsidRDefault="001A5FB0" w:rsidP="00766353">
            <w:pPr>
              <w:ind w:right="-108"/>
              <w:jc w:val="right"/>
              <w:rPr>
                <w:rFonts w:cs="Arial"/>
                <w:b/>
                <w:sz w:val="16"/>
                <w:szCs w:val="16"/>
              </w:rPr>
            </w:pPr>
            <w:r w:rsidRPr="003C5DA7">
              <w:rPr>
                <w:rFonts w:cs="Arial"/>
                <w:b/>
                <w:sz w:val="16"/>
                <w:szCs w:val="16"/>
              </w:rPr>
              <w:t xml:space="preserve">Unobservable </w:t>
            </w:r>
          </w:p>
          <w:p w14:paraId="27972A00" w14:textId="77777777" w:rsidR="003A6C5D" w:rsidRPr="003C5DA7" w:rsidRDefault="001A5FB0" w:rsidP="00766353">
            <w:pPr>
              <w:ind w:right="-108"/>
              <w:jc w:val="right"/>
              <w:rPr>
                <w:rFonts w:cs="Arial"/>
                <w:b/>
                <w:sz w:val="16"/>
                <w:szCs w:val="16"/>
              </w:rPr>
            </w:pPr>
            <w:r w:rsidRPr="003C5DA7">
              <w:rPr>
                <w:rFonts w:cs="Arial"/>
                <w:b/>
                <w:sz w:val="16"/>
                <w:szCs w:val="16"/>
              </w:rPr>
              <w:t>Input</w:t>
            </w:r>
          </w:p>
        </w:tc>
        <w:tc>
          <w:tcPr>
            <w:tcW w:w="2515" w:type="dxa"/>
          </w:tcPr>
          <w:p w14:paraId="6D32FEC4" w14:textId="77777777" w:rsidR="003A6C5D" w:rsidRPr="003C5DA7" w:rsidRDefault="001A5FB0" w:rsidP="00391350">
            <w:pPr>
              <w:ind w:right="-108"/>
              <w:jc w:val="right"/>
              <w:rPr>
                <w:rFonts w:cs="Arial"/>
                <w:b/>
                <w:sz w:val="16"/>
                <w:szCs w:val="16"/>
              </w:rPr>
            </w:pPr>
            <w:r w:rsidRPr="003C5DA7">
              <w:rPr>
                <w:rFonts w:cs="Arial"/>
                <w:b/>
                <w:sz w:val="16"/>
                <w:szCs w:val="16"/>
              </w:rPr>
              <w:t xml:space="preserve">Range </w:t>
            </w:r>
          </w:p>
        </w:tc>
      </w:tr>
      <w:tr w:rsidR="003A6C5D" w:rsidRPr="003C5DA7" w14:paraId="6B67388F" w14:textId="77777777" w:rsidTr="0067084F">
        <w:tc>
          <w:tcPr>
            <w:tcW w:w="1843" w:type="dxa"/>
          </w:tcPr>
          <w:p w14:paraId="2433A642" w14:textId="77777777" w:rsidR="003A6C5D" w:rsidRPr="003C5DA7" w:rsidRDefault="006A25F8" w:rsidP="00391350">
            <w:pPr>
              <w:rPr>
                <w:rFonts w:cs="Arial"/>
                <w:sz w:val="16"/>
                <w:szCs w:val="16"/>
                <w:u w:val="single"/>
              </w:rPr>
            </w:pPr>
            <w:r w:rsidRPr="003C5DA7">
              <w:rPr>
                <w:rFonts w:cs="Arial"/>
                <w:b/>
                <w:sz w:val="16"/>
                <w:szCs w:val="16"/>
              </w:rPr>
              <w:t>Preference</w:t>
            </w:r>
            <w:r w:rsidR="001A5FB0" w:rsidRPr="003C5DA7">
              <w:rPr>
                <w:rFonts w:cs="Arial"/>
                <w:b/>
                <w:sz w:val="16"/>
                <w:szCs w:val="16"/>
              </w:rPr>
              <w:t xml:space="preserve"> Shares</w:t>
            </w:r>
          </w:p>
          <w:p w14:paraId="6C7DEFDD" w14:textId="77777777" w:rsidR="003A6C5D" w:rsidRPr="003C5DA7" w:rsidRDefault="003A6C5D" w:rsidP="00391350">
            <w:pPr>
              <w:ind w:right="-108"/>
              <w:rPr>
                <w:rFonts w:cs="Arial"/>
                <w:b/>
                <w:szCs w:val="22"/>
              </w:rPr>
            </w:pPr>
          </w:p>
        </w:tc>
        <w:tc>
          <w:tcPr>
            <w:tcW w:w="1560" w:type="dxa"/>
          </w:tcPr>
          <w:p w14:paraId="3667F2D6" w14:textId="77777777" w:rsidR="003A6C5D" w:rsidRPr="003C5DA7" w:rsidRDefault="001A5FB0" w:rsidP="00401150">
            <w:pPr>
              <w:ind w:right="-108"/>
              <w:jc w:val="right"/>
              <w:rPr>
                <w:rFonts w:cs="Arial"/>
                <w:sz w:val="14"/>
                <w:szCs w:val="14"/>
              </w:rPr>
            </w:pPr>
            <w:r w:rsidRPr="003C5DA7">
              <w:rPr>
                <w:rFonts w:cs="Arial"/>
                <w:sz w:val="14"/>
                <w:szCs w:val="14"/>
              </w:rPr>
              <w:t xml:space="preserve">Premium earned </w:t>
            </w:r>
          </w:p>
          <w:p w14:paraId="4CDBD7D4" w14:textId="77777777" w:rsidR="003A6C5D" w:rsidRPr="003C5DA7" w:rsidRDefault="001A5FB0" w:rsidP="00401150">
            <w:pPr>
              <w:ind w:right="-108"/>
              <w:jc w:val="right"/>
              <w:rPr>
                <w:rFonts w:cs="Arial"/>
                <w:sz w:val="14"/>
                <w:szCs w:val="14"/>
              </w:rPr>
            </w:pPr>
            <w:r w:rsidRPr="003C5DA7">
              <w:rPr>
                <w:rFonts w:cs="Arial"/>
                <w:sz w:val="14"/>
                <w:szCs w:val="14"/>
              </w:rPr>
              <w:t xml:space="preserve"> </w:t>
            </w:r>
          </w:p>
          <w:p w14:paraId="28F3C2EC" w14:textId="77777777" w:rsidR="003A6C5D" w:rsidRPr="003C5DA7" w:rsidRDefault="001A5FB0" w:rsidP="00401150">
            <w:pPr>
              <w:ind w:right="-108"/>
              <w:jc w:val="right"/>
              <w:rPr>
                <w:rFonts w:cs="Arial"/>
                <w:sz w:val="14"/>
                <w:szCs w:val="14"/>
              </w:rPr>
            </w:pPr>
            <w:r w:rsidRPr="003C5DA7">
              <w:rPr>
                <w:rFonts w:cs="Arial"/>
                <w:sz w:val="14"/>
                <w:szCs w:val="14"/>
              </w:rPr>
              <w:t>Loss reserve</w:t>
            </w:r>
            <w:r w:rsidR="00834A8C" w:rsidRPr="003C5DA7">
              <w:rPr>
                <w:rFonts w:cs="Arial"/>
                <w:sz w:val="14"/>
                <w:szCs w:val="14"/>
              </w:rPr>
              <w:t>s</w:t>
            </w:r>
          </w:p>
          <w:p w14:paraId="2A89A895" w14:textId="77777777" w:rsidR="006A25F8" w:rsidRPr="003C5DA7" w:rsidRDefault="006A25F8" w:rsidP="00401150">
            <w:pPr>
              <w:ind w:right="-108"/>
              <w:jc w:val="right"/>
              <w:rPr>
                <w:rFonts w:cs="Arial"/>
                <w:b/>
                <w:szCs w:val="22"/>
              </w:rPr>
            </w:pPr>
            <w:r w:rsidRPr="003C5DA7">
              <w:rPr>
                <w:rFonts w:cs="Arial"/>
                <w:sz w:val="14"/>
                <w:szCs w:val="14"/>
              </w:rPr>
              <w:t>Risk margin</w:t>
            </w:r>
          </w:p>
        </w:tc>
        <w:tc>
          <w:tcPr>
            <w:tcW w:w="4394" w:type="dxa"/>
          </w:tcPr>
          <w:p w14:paraId="7E153597" w14:textId="77777777" w:rsidR="003A6C5D" w:rsidRPr="003C5DA7" w:rsidRDefault="001A5FB0" w:rsidP="00391350">
            <w:pPr>
              <w:ind w:right="-108"/>
              <w:jc w:val="right"/>
              <w:rPr>
                <w:rFonts w:cs="Arial"/>
                <w:sz w:val="14"/>
                <w:szCs w:val="14"/>
              </w:rPr>
            </w:pPr>
            <w:r w:rsidRPr="003C5DA7">
              <w:rPr>
                <w:rFonts w:cs="Arial"/>
                <w:sz w:val="14"/>
                <w:szCs w:val="14"/>
              </w:rPr>
              <w:t>Premiums earned – straight line</w:t>
            </w:r>
            <w:r w:rsidR="00834A8C" w:rsidRPr="003C5DA7">
              <w:rPr>
                <w:rFonts w:cs="Arial"/>
                <w:sz w:val="14"/>
                <w:szCs w:val="14"/>
              </w:rPr>
              <w:t xml:space="preserve"> for</w:t>
            </w:r>
            <w:r w:rsidR="006A25F8" w:rsidRPr="003C5DA7">
              <w:rPr>
                <w:rFonts w:cs="Arial"/>
                <w:sz w:val="14"/>
                <w:szCs w:val="14"/>
              </w:rPr>
              <w:t xml:space="preserve"> uniform perils</w:t>
            </w:r>
          </w:p>
          <w:p w14:paraId="0EB5DD6A" w14:textId="77777777" w:rsidR="003A6C5D" w:rsidRPr="003C5DA7" w:rsidRDefault="001A5FB0" w:rsidP="00391350">
            <w:pPr>
              <w:ind w:right="-108"/>
              <w:jc w:val="right"/>
              <w:rPr>
                <w:rFonts w:cs="Arial"/>
                <w:sz w:val="14"/>
                <w:szCs w:val="14"/>
              </w:rPr>
            </w:pPr>
            <w:r w:rsidRPr="003C5DA7">
              <w:rPr>
                <w:rFonts w:cs="Arial"/>
                <w:sz w:val="14"/>
                <w:szCs w:val="14"/>
              </w:rPr>
              <w:t>Premiums earned – seasonality adjusted</w:t>
            </w:r>
            <w:r w:rsidR="006A25F8" w:rsidRPr="003C5DA7">
              <w:rPr>
                <w:rFonts w:cs="Arial"/>
                <w:sz w:val="14"/>
                <w:szCs w:val="14"/>
              </w:rPr>
              <w:t xml:space="preserve"> for non-uniform perils</w:t>
            </w:r>
          </w:p>
          <w:p w14:paraId="71FBF336" w14:textId="77777777" w:rsidR="003A6C5D" w:rsidRPr="003C5DA7" w:rsidRDefault="006A25F8" w:rsidP="00391350">
            <w:pPr>
              <w:ind w:right="-108"/>
              <w:jc w:val="right"/>
              <w:rPr>
                <w:rFonts w:cs="Arial"/>
                <w:sz w:val="14"/>
                <w:szCs w:val="14"/>
              </w:rPr>
            </w:pPr>
            <w:r w:rsidRPr="003C5DA7">
              <w:rPr>
                <w:rFonts w:cs="Arial"/>
                <w:sz w:val="14"/>
                <w:szCs w:val="14"/>
              </w:rPr>
              <w:t>Loss r</w:t>
            </w:r>
            <w:r w:rsidR="001A5FB0" w:rsidRPr="003C5DA7">
              <w:rPr>
                <w:rFonts w:cs="Arial"/>
                <w:sz w:val="14"/>
                <w:szCs w:val="14"/>
              </w:rPr>
              <w:t>eserves</w:t>
            </w:r>
            <w:r w:rsidRPr="003C5DA7">
              <w:rPr>
                <w:rFonts w:cs="Arial"/>
                <w:sz w:val="14"/>
                <w:szCs w:val="14"/>
              </w:rPr>
              <w:t>*</w:t>
            </w:r>
          </w:p>
          <w:p w14:paraId="69AE584C" w14:textId="77777777" w:rsidR="006A25F8" w:rsidRPr="003C5DA7" w:rsidRDefault="006A25F8" w:rsidP="00391350">
            <w:pPr>
              <w:ind w:right="-108"/>
              <w:jc w:val="right"/>
              <w:rPr>
                <w:rFonts w:cs="Arial"/>
                <w:sz w:val="14"/>
                <w:szCs w:val="14"/>
              </w:rPr>
            </w:pPr>
            <w:r w:rsidRPr="003C5DA7">
              <w:rPr>
                <w:rFonts w:cs="Arial"/>
                <w:sz w:val="14"/>
                <w:szCs w:val="14"/>
              </w:rPr>
              <w:t>Risk margin</w:t>
            </w:r>
          </w:p>
        </w:tc>
        <w:tc>
          <w:tcPr>
            <w:tcW w:w="2515" w:type="dxa"/>
          </w:tcPr>
          <w:p w14:paraId="607E5B36" w14:textId="77777777" w:rsidR="003A6C5D" w:rsidRPr="003C5DA7" w:rsidRDefault="001A5FB0" w:rsidP="00391350">
            <w:pPr>
              <w:ind w:right="-108"/>
              <w:jc w:val="right"/>
              <w:rPr>
                <w:rFonts w:cs="Arial"/>
                <w:sz w:val="14"/>
                <w:szCs w:val="14"/>
              </w:rPr>
            </w:pPr>
            <w:r w:rsidRPr="003C5DA7">
              <w:rPr>
                <w:rFonts w:cs="Arial"/>
                <w:sz w:val="14"/>
                <w:szCs w:val="14"/>
              </w:rPr>
              <w:t>12 months</w:t>
            </w:r>
          </w:p>
          <w:p w14:paraId="6A7E0D44" w14:textId="77777777" w:rsidR="003A6C5D" w:rsidRPr="003C5DA7" w:rsidRDefault="001A5FB0" w:rsidP="00391350">
            <w:pPr>
              <w:ind w:right="-108"/>
              <w:jc w:val="right"/>
              <w:rPr>
                <w:rFonts w:cs="Arial"/>
                <w:sz w:val="14"/>
                <w:szCs w:val="14"/>
              </w:rPr>
            </w:pPr>
            <w:r w:rsidRPr="003C5DA7">
              <w:rPr>
                <w:rFonts w:cs="Arial"/>
                <w:sz w:val="14"/>
                <w:szCs w:val="14"/>
              </w:rPr>
              <w:t>5 to 6 months</w:t>
            </w:r>
          </w:p>
          <w:p w14:paraId="00CFE411" w14:textId="77777777" w:rsidR="003A6C5D" w:rsidRPr="003C5DA7" w:rsidRDefault="006A25F8" w:rsidP="00391350">
            <w:pPr>
              <w:ind w:right="-108"/>
              <w:jc w:val="right"/>
              <w:rPr>
                <w:rFonts w:cs="Arial"/>
                <w:sz w:val="14"/>
                <w:szCs w:val="14"/>
              </w:rPr>
            </w:pPr>
            <w:r w:rsidRPr="003C5DA7">
              <w:rPr>
                <w:rFonts w:cs="Arial"/>
                <w:sz w:val="14"/>
                <w:szCs w:val="14"/>
              </w:rPr>
              <w:t>0 to contractual limit</w:t>
            </w:r>
          </w:p>
          <w:p w14:paraId="426D050A" w14:textId="77777777" w:rsidR="003A6C5D" w:rsidRPr="003C5DA7" w:rsidRDefault="001A5FB0" w:rsidP="00391350">
            <w:pPr>
              <w:ind w:right="-108"/>
              <w:jc w:val="right"/>
              <w:rPr>
                <w:rFonts w:cs="Arial"/>
                <w:b/>
                <w:szCs w:val="22"/>
              </w:rPr>
            </w:pPr>
            <w:r w:rsidRPr="003C5DA7">
              <w:rPr>
                <w:rFonts w:cs="Arial"/>
                <w:sz w:val="14"/>
                <w:szCs w:val="14"/>
              </w:rPr>
              <w:t>0</w:t>
            </w:r>
            <w:r w:rsidR="006A25F8" w:rsidRPr="003C5DA7">
              <w:rPr>
                <w:rFonts w:cs="Arial"/>
                <w:sz w:val="14"/>
                <w:szCs w:val="14"/>
              </w:rPr>
              <w:t>% to 15%</w:t>
            </w:r>
          </w:p>
        </w:tc>
      </w:tr>
    </w:tbl>
    <w:p w14:paraId="71F1A8C7" w14:textId="07C19159" w:rsidR="003A6C5D" w:rsidRPr="003C5DA7" w:rsidRDefault="006A25F8" w:rsidP="00391350">
      <w:pPr>
        <w:ind w:left="360" w:right="-108" w:hanging="360"/>
        <w:rPr>
          <w:rFonts w:cs="Arial"/>
          <w:b/>
          <w:szCs w:val="22"/>
        </w:rPr>
      </w:pPr>
      <w:r w:rsidRPr="003C5DA7">
        <w:rPr>
          <w:rFonts w:cs="Arial"/>
          <w:b/>
          <w:szCs w:val="22"/>
        </w:rPr>
        <w:t>*</w:t>
      </w:r>
      <w:r w:rsidRPr="003C5DA7">
        <w:rPr>
          <w:rFonts w:cs="Arial"/>
          <w:i/>
          <w:sz w:val="16"/>
          <w:szCs w:val="16"/>
        </w:rPr>
        <w:t xml:space="preserve">Based on </w:t>
      </w:r>
      <w:r w:rsidR="003C5DA7" w:rsidRPr="003C5DA7">
        <w:rPr>
          <w:rFonts w:cs="Arial"/>
          <w:i/>
          <w:sz w:val="16"/>
          <w:szCs w:val="16"/>
        </w:rPr>
        <w:t>‘</w:t>
      </w:r>
      <w:r w:rsidRPr="003C5DA7">
        <w:rPr>
          <w:rFonts w:cs="Arial"/>
          <w:i/>
          <w:sz w:val="16"/>
          <w:szCs w:val="16"/>
        </w:rPr>
        <w:t>from ground up</w:t>
      </w:r>
      <w:r w:rsidR="003C5DA7" w:rsidRPr="003C5DA7">
        <w:rPr>
          <w:rFonts w:cs="Arial"/>
          <w:i/>
          <w:sz w:val="16"/>
          <w:szCs w:val="16"/>
        </w:rPr>
        <w:t>’</w:t>
      </w:r>
      <w:r w:rsidRPr="003C5DA7">
        <w:rPr>
          <w:rFonts w:cs="Arial"/>
          <w:i/>
          <w:sz w:val="16"/>
          <w:szCs w:val="16"/>
        </w:rPr>
        <w:t xml:space="preserve"> losses as reported by </w:t>
      </w:r>
      <w:proofErr w:type="spellStart"/>
      <w:r w:rsidRPr="003C5DA7">
        <w:rPr>
          <w:rFonts w:cs="Arial"/>
          <w:i/>
          <w:sz w:val="16"/>
          <w:szCs w:val="16"/>
        </w:rPr>
        <w:t>cedants</w:t>
      </w:r>
      <w:proofErr w:type="spellEnd"/>
      <w:r w:rsidRPr="003C5DA7">
        <w:rPr>
          <w:rFonts w:cs="Arial"/>
          <w:b/>
          <w:szCs w:val="22"/>
        </w:rPr>
        <w:t xml:space="preserve"> </w:t>
      </w:r>
    </w:p>
    <w:p w14:paraId="5EE4CA9C" w14:textId="77777777" w:rsidR="006A25F8" w:rsidRPr="003C5DA7" w:rsidRDefault="006A25F8" w:rsidP="00391350">
      <w:pPr>
        <w:ind w:left="360" w:right="-108" w:hanging="360"/>
        <w:rPr>
          <w:rFonts w:cs="Arial"/>
          <w:b/>
          <w:szCs w:val="22"/>
        </w:rPr>
      </w:pPr>
    </w:p>
    <w:p w14:paraId="0A3DA74E" w14:textId="77777777" w:rsidR="009F6859" w:rsidRPr="003C5DA7" w:rsidRDefault="001A5FB0" w:rsidP="00391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r w:rsidRPr="003C5DA7">
        <w:rPr>
          <w:rFonts w:cs="Arial"/>
          <w:szCs w:val="22"/>
        </w:rPr>
        <w:t xml:space="preserve">As </w:t>
      </w:r>
      <w:r w:rsidR="006A25F8" w:rsidRPr="003C5DA7">
        <w:rPr>
          <w:rFonts w:cs="Arial"/>
          <w:szCs w:val="22"/>
        </w:rPr>
        <w:t>described in N</w:t>
      </w:r>
      <w:r w:rsidRPr="003C5DA7">
        <w:rPr>
          <w:rFonts w:cs="Arial"/>
          <w:szCs w:val="22"/>
        </w:rPr>
        <w:t>ote 5, significant increases or decreases in loss reserves would result in a significantly lower or higher fair value measurement.</w:t>
      </w:r>
    </w:p>
    <w:p w14:paraId="7A480CA3" w14:textId="77777777" w:rsidR="009F6859" w:rsidRPr="00D25DF8" w:rsidRDefault="009F6859" w:rsidP="00391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FF0000"/>
          <w:szCs w:val="22"/>
        </w:rPr>
      </w:pPr>
    </w:p>
    <w:p w14:paraId="3919B6FC" w14:textId="77777777" w:rsidR="00470906" w:rsidRPr="003C5DA7" w:rsidRDefault="00470906" w:rsidP="00391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p>
    <w:p w14:paraId="2A8DBF6F" w14:textId="77777777" w:rsidR="009F6859" w:rsidRPr="003C5DA7" w:rsidRDefault="001A5FB0" w:rsidP="00391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Cs w:val="22"/>
        </w:rPr>
      </w:pPr>
      <w:r w:rsidRPr="003C5DA7">
        <w:rPr>
          <w:rFonts w:cs="Arial"/>
          <w:b/>
          <w:szCs w:val="22"/>
        </w:rPr>
        <w:t>3.</w:t>
      </w:r>
      <w:r w:rsidRPr="003C5DA7">
        <w:rPr>
          <w:rFonts w:cs="Arial"/>
          <w:b/>
          <w:szCs w:val="22"/>
        </w:rPr>
        <w:tab/>
        <w:t>C</w:t>
      </w:r>
      <w:r w:rsidR="00834A8C" w:rsidRPr="003C5DA7">
        <w:rPr>
          <w:rFonts w:cs="Arial"/>
          <w:b/>
          <w:szCs w:val="22"/>
        </w:rPr>
        <w:t>ONCENTRATION OF CREDIT RISK</w:t>
      </w:r>
    </w:p>
    <w:p w14:paraId="1AF5CFA8" w14:textId="4757D443" w:rsidR="006A25F8" w:rsidRPr="0076601E" w:rsidRDefault="006A25F8" w:rsidP="00391350">
      <w:pPr>
        <w:pStyle w:val="BodyText"/>
        <w:tabs>
          <w:tab w:val="left" w:pos="9720"/>
          <w:tab w:val="left" w:pos="9810"/>
        </w:tabs>
        <w:kinsoku w:val="0"/>
        <w:overflowPunct w:val="0"/>
        <w:spacing w:before="57"/>
        <w:ind w:right="389"/>
        <w:rPr>
          <w:rFonts w:cs="Arial"/>
          <w:spacing w:val="0"/>
          <w:sz w:val="22"/>
          <w:szCs w:val="22"/>
        </w:rPr>
      </w:pPr>
      <w:r w:rsidRPr="003C5DA7">
        <w:rPr>
          <w:rFonts w:cs="Arial"/>
          <w:spacing w:val="0"/>
          <w:sz w:val="22"/>
          <w:szCs w:val="22"/>
        </w:rPr>
        <w:t>In the normal course of business, the Company maintains its cash balances (not assets supporting retrocessional transactions) in ﬁnancial institutions, which at times may exceed federally insured limits. The Company is subject to credit risk to the extent any ﬁnancial institution with which it conducts business is unable to fulﬁll contractual obligations on its behalf. Management monitors the ﬁnancial condition of such ﬁnancial institutions and does not anticipate any losses from these cou</w:t>
      </w:r>
      <w:r w:rsidR="003C5DA7" w:rsidRPr="003C5DA7">
        <w:rPr>
          <w:rFonts w:cs="Arial"/>
          <w:spacing w:val="0"/>
          <w:sz w:val="22"/>
          <w:szCs w:val="22"/>
        </w:rPr>
        <w:t>nterparties. At 31 December 2015 and 2014</w:t>
      </w:r>
      <w:r w:rsidRPr="003C5DA7">
        <w:rPr>
          <w:rFonts w:cs="Arial"/>
          <w:spacing w:val="0"/>
          <w:sz w:val="22"/>
          <w:szCs w:val="22"/>
        </w:rPr>
        <w:t>, cash and cash equivalents are held with HSBC Ba</w:t>
      </w:r>
      <w:r w:rsidRPr="0076601E">
        <w:rPr>
          <w:rFonts w:cs="Arial"/>
          <w:spacing w:val="0"/>
          <w:sz w:val="22"/>
          <w:szCs w:val="22"/>
        </w:rPr>
        <w:t>nk Bermuda Ltd. which has a credit rating of A- as issued by Standard &amp; Poor’s.</w:t>
      </w:r>
    </w:p>
    <w:p w14:paraId="632C1AB3" w14:textId="77777777" w:rsidR="009F6859" w:rsidRPr="0076601E" w:rsidRDefault="009F6859" w:rsidP="00391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p>
    <w:p w14:paraId="2E09277C" w14:textId="77777777" w:rsidR="00D5060B" w:rsidRPr="0076601E" w:rsidRDefault="00D5060B" w:rsidP="00391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p>
    <w:p w14:paraId="303C8D73" w14:textId="77777777" w:rsidR="009F6859" w:rsidRPr="0076601E" w:rsidRDefault="001A5FB0" w:rsidP="00391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Cs w:val="22"/>
        </w:rPr>
      </w:pPr>
      <w:r w:rsidRPr="0076601E">
        <w:rPr>
          <w:rFonts w:cs="Arial"/>
          <w:b/>
          <w:szCs w:val="22"/>
        </w:rPr>
        <w:t>4.</w:t>
      </w:r>
      <w:r w:rsidRPr="0076601E">
        <w:rPr>
          <w:rFonts w:cs="Arial"/>
          <w:b/>
          <w:szCs w:val="22"/>
        </w:rPr>
        <w:tab/>
      </w:r>
      <w:r w:rsidR="00834A8C" w:rsidRPr="0076601E">
        <w:rPr>
          <w:rFonts w:cs="Arial"/>
          <w:b/>
          <w:szCs w:val="22"/>
        </w:rPr>
        <w:t>CONCENTRATION OF REINSURANCE RISK</w:t>
      </w:r>
    </w:p>
    <w:p w14:paraId="147BB780" w14:textId="77777777" w:rsidR="0067084F" w:rsidRDefault="0067084F" w:rsidP="00391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p>
    <w:p w14:paraId="1E0B409B" w14:textId="100BEEF5" w:rsidR="009F6859" w:rsidRPr="0076601E" w:rsidRDefault="001A5FB0" w:rsidP="00391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89"/>
        <w:jc w:val="both"/>
        <w:rPr>
          <w:rFonts w:cs="Arial"/>
          <w:szCs w:val="22"/>
        </w:rPr>
      </w:pPr>
      <w:r w:rsidRPr="0076601E">
        <w:rPr>
          <w:rFonts w:cs="Arial"/>
          <w:szCs w:val="22"/>
        </w:rPr>
        <w:t xml:space="preserve">The following table illustrates the diversified risk profile of the Reinsurer’s portfolio by geography and peril as at </w:t>
      </w:r>
      <w:r w:rsidR="0076601E" w:rsidRPr="0076601E">
        <w:rPr>
          <w:rFonts w:cs="Arial"/>
          <w:szCs w:val="22"/>
        </w:rPr>
        <w:t>31 December 2015</w:t>
      </w:r>
      <w:r w:rsidRPr="0076601E">
        <w:rPr>
          <w:rFonts w:cs="Arial"/>
          <w:szCs w:val="22"/>
        </w:rPr>
        <w:t>.</w:t>
      </w:r>
    </w:p>
    <w:p w14:paraId="30BA4D41" w14:textId="77777777" w:rsidR="009F6859" w:rsidRPr="0076601E" w:rsidRDefault="009F6859" w:rsidP="00391350">
      <w:pPr>
        <w:ind w:left="360" w:right="-108" w:hanging="360"/>
        <w:rPr>
          <w:rFonts w:cs="Arial"/>
          <w:b/>
          <w:szCs w:val="22"/>
        </w:rPr>
      </w:pPr>
    </w:p>
    <w:p w14:paraId="7632935F" w14:textId="4D7ACDFE" w:rsidR="00BF79DB" w:rsidRPr="0076601E" w:rsidRDefault="0076601E" w:rsidP="00391350">
      <w:pPr>
        <w:jc w:val="both"/>
        <w:rPr>
          <w:rFonts w:cs="Arial"/>
          <w:b/>
          <w:spacing w:val="-2"/>
          <w:szCs w:val="22"/>
        </w:rPr>
      </w:pPr>
      <w:bookmarkStart w:id="1" w:name="OLE_LINK9"/>
      <w:bookmarkStart w:id="2" w:name="OLE_LINK10"/>
      <w:r w:rsidRPr="0076601E">
        <w:rPr>
          <w:rFonts w:cs="Arial"/>
          <w:b/>
          <w:spacing w:val="-2"/>
          <w:szCs w:val="22"/>
        </w:rPr>
        <w:t>2015</w:t>
      </w:r>
      <w:r w:rsidR="001A5FB0" w:rsidRPr="0076601E">
        <w:rPr>
          <w:rFonts w:cs="Arial"/>
          <w:b/>
          <w:spacing w:val="-2"/>
          <w:szCs w:val="22"/>
        </w:rPr>
        <w:t xml:space="preserve"> Retrocessional Reinsurance Portfolio</w:t>
      </w:r>
    </w:p>
    <w:p w14:paraId="0D4C9EC6" w14:textId="77777777" w:rsidR="00BF79DB" w:rsidRPr="0076601E" w:rsidRDefault="00BF79DB" w:rsidP="00391350">
      <w:pPr>
        <w:jc w:val="both"/>
        <w:rPr>
          <w:rFonts w:cs="Arial"/>
          <w:spacing w:val="-2"/>
          <w:szCs w:val="22"/>
        </w:rPr>
      </w:pPr>
    </w:p>
    <w:p w14:paraId="4F73BDC3" w14:textId="77777777" w:rsidR="009F6859" w:rsidRPr="0076601E" w:rsidRDefault="001A5FB0" w:rsidP="00391350">
      <w:pPr>
        <w:jc w:val="both"/>
        <w:rPr>
          <w:rFonts w:cs="Arial"/>
          <w:spacing w:val="-2"/>
          <w:szCs w:val="22"/>
        </w:rPr>
      </w:pPr>
      <w:r w:rsidRPr="0076601E">
        <w:rPr>
          <w:rFonts w:cs="Arial"/>
          <w:i/>
          <w:spacing w:val="-2"/>
          <w:szCs w:val="22"/>
        </w:rPr>
        <w:t>Geographic Distribution</w:t>
      </w:r>
      <w:r w:rsidRPr="0076601E">
        <w:rPr>
          <w:rFonts w:cs="Arial"/>
          <w:spacing w:val="-2"/>
          <w:szCs w:val="22"/>
        </w:rPr>
        <w:tab/>
      </w:r>
      <w:r w:rsidRPr="0076601E">
        <w:rPr>
          <w:rFonts w:cs="Arial"/>
          <w:spacing w:val="-2"/>
          <w:szCs w:val="22"/>
        </w:rPr>
        <w:tab/>
      </w:r>
      <w:r w:rsidRPr="0076601E">
        <w:rPr>
          <w:rFonts w:cs="Arial"/>
          <w:spacing w:val="-2"/>
          <w:szCs w:val="22"/>
        </w:rPr>
        <w:tab/>
      </w:r>
      <w:r w:rsidRPr="0076601E">
        <w:rPr>
          <w:rFonts w:cs="Arial"/>
          <w:spacing w:val="-2"/>
          <w:szCs w:val="22"/>
        </w:rPr>
        <w:tab/>
      </w:r>
      <w:r w:rsidRPr="0076601E">
        <w:rPr>
          <w:rFonts w:cs="Arial"/>
          <w:spacing w:val="-2"/>
          <w:szCs w:val="22"/>
        </w:rPr>
        <w:tab/>
      </w:r>
      <w:r w:rsidRPr="0076601E">
        <w:rPr>
          <w:rFonts w:cs="Arial"/>
          <w:i/>
          <w:spacing w:val="-2"/>
          <w:szCs w:val="22"/>
        </w:rPr>
        <w:t>Exposure by Risk Peril</w:t>
      </w:r>
      <w:r w:rsidRPr="0076601E">
        <w:rPr>
          <w:rFonts w:cs="Arial"/>
          <w:spacing w:val="-2"/>
          <w:szCs w:val="22"/>
        </w:rPr>
        <w:tab/>
      </w:r>
      <w:r w:rsidRPr="0076601E">
        <w:rPr>
          <w:rFonts w:cs="Arial"/>
          <w:spacing w:val="-2"/>
          <w:szCs w:val="22"/>
        </w:rPr>
        <w:tab/>
      </w:r>
      <w:r w:rsidRPr="0076601E">
        <w:rPr>
          <w:rFonts w:cs="Arial"/>
          <w:spacing w:val="-2"/>
          <w:szCs w:val="22"/>
        </w:rPr>
        <w:tab/>
      </w:r>
    </w:p>
    <w:p w14:paraId="2643C5A5" w14:textId="77777777" w:rsidR="009F6859" w:rsidRPr="0076601E" w:rsidRDefault="009F6859" w:rsidP="00107976">
      <w:pPr>
        <w:jc w:val="both"/>
        <w:rPr>
          <w:rFonts w:cs="Arial"/>
          <w:spacing w:val="-2"/>
          <w:szCs w:val="22"/>
        </w:rPr>
      </w:pPr>
    </w:p>
    <w:tbl>
      <w:tblPr>
        <w:tblW w:w="10312" w:type="dxa"/>
        <w:tblInd w:w="-34" w:type="dxa"/>
        <w:tblLayout w:type="fixed"/>
        <w:tblLook w:val="00A0" w:firstRow="1" w:lastRow="0" w:firstColumn="1" w:lastColumn="0" w:noHBand="0" w:noVBand="0"/>
      </w:tblPr>
      <w:tblGrid>
        <w:gridCol w:w="412"/>
        <w:gridCol w:w="4140"/>
        <w:gridCol w:w="720"/>
        <w:gridCol w:w="630"/>
        <w:gridCol w:w="540"/>
        <w:gridCol w:w="3060"/>
        <w:gridCol w:w="810"/>
      </w:tblGrid>
      <w:tr w:rsidR="002D334C" w:rsidRPr="0076601E" w14:paraId="1EBFFFF8" w14:textId="77777777" w:rsidTr="002D334C">
        <w:trPr>
          <w:trHeight w:val="234"/>
        </w:trPr>
        <w:tc>
          <w:tcPr>
            <w:tcW w:w="412" w:type="dxa"/>
          </w:tcPr>
          <w:p w14:paraId="110222B0" w14:textId="77777777" w:rsidR="002D334C" w:rsidRPr="0076601E" w:rsidRDefault="001A5FB0" w:rsidP="00BF79DB">
            <w:pPr>
              <w:rPr>
                <w:rFonts w:cs="Arial"/>
                <w:spacing w:val="-2"/>
                <w:szCs w:val="22"/>
              </w:rPr>
            </w:pPr>
            <w:r w:rsidRPr="0076601E">
              <w:rPr>
                <w:rFonts w:cs="Arial"/>
                <w:spacing w:val="-2"/>
                <w:szCs w:val="22"/>
              </w:rPr>
              <w:t>1.</w:t>
            </w:r>
          </w:p>
        </w:tc>
        <w:tc>
          <w:tcPr>
            <w:tcW w:w="4140" w:type="dxa"/>
          </w:tcPr>
          <w:p w14:paraId="19F961F4" w14:textId="77777777" w:rsidR="002D334C" w:rsidRPr="0076601E" w:rsidRDefault="00834A8C" w:rsidP="00BF79DB">
            <w:pPr>
              <w:rPr>
                <w:rFonts w:cs="Arial"/>
                <w:spacing w:val="-2"/>
                <w:szCs w:val="22"/>
              </w:rPr>
            </w:pPr>
            <w:r w:rsidRPr="0076601E">
              <w:rPr>
                <w:rFonts w:cs="Arial"/>
                <w:spacing w:val="-2"/>
                <w:szCs w:val="22"/>
              </w:rPr>
              <w:t>North America/</w:t>
            </w:r>
            <w:r w:rsidR="001A5FB0" w:rsidRPr="0076601E">
              <w:rPr>
                <w:rFonts w:cs="Arial"/>
                <w:spacing w:val="-2"/>
                <w:szCs w:val="22"/>
              </w:rPr>
              <w:t>Caribbean</w:t>
            </w:r>
          </w:p>
        </w:tc>
        <w:tc>
          <w:tcPr>
            <w:tcW w:w="720" w:type="dxa"/>
          </w:tcPr>
          <w:p w14:paraId="0F2F80F8" w14:textId="7B8932CB" w:rsidR="002D334C" w:rsidRPr="0076601E" w:rsidRDefault="0076601E" w:rsidP="00BF79DB">
            <w:pPr>
              <w:jc w:val="right"/>
              <w:rPr>
                <w:rFonts w:cs="Arial"/>
                <w:spacing w:val="-2"/>
                <w:szCs w:val="22"/>
              </w:rPr>
            </w:pPr>
            <w:r w:rsidRPr="0076601E">
              <w:rPr>
                <w:rFonts w:cs="Arial"/>
                <w:spacing w:val="-2"/>
                <w:szCs w:val="22"/>
              </w:rPr>
              <w:t>47</w:t>
            </w:r>
            <w:r w:rsidR="001A5FB0" w:rsidRPr="0076601E">
              <w:rPr>
                <w:rFonts w:cs="Arial"/>
                <w:spacing w:val="-2"/>
                <w:szCs w:val="22"/>
              </w:rPr>
              <w:t>%</w:t>
            </w:r>
          </w:p>
        </w:tc>
        <w:tc>
          <w:tcPr>
            <w:tcW w:w="630" w:type="dxa"/>
          </w:tcPr>
          <w:p w14:paraId="2C736DD5" w14:textId="77777777" w:rsidR="002D334C" w:rsidRPr="0076601E" w:rsidRDefault="002D334C" w:rsidP="00C73C9B">
            <w:pPr>
              <w:rPr>
                <w:rFonts w:cs="Arial"/>
                <w:spacing w:val="-2"/>
                <w:szCs w:val="22"/>
              </w:rPr>
            </w:pPr>
          </w:p>
        </w:tc>
        <w:tc>
          <w:tcPr>
            <w:tcW w:w="540" w:type="dxa"/>
          </w:tcPr>
          <w:p w14:paraId="63493FA5" w14:textId="77777777" w:rsidR="002D334C" w:rsidRPr="0076601E" w:rsidDel="002D334C" w:rsidRDefault="001A5FB0" w:rsidP="00C73C9B">
            <w:pPr>
              <w:rPr>
                <w:rFonts w:cs="Arial"/>
                <w:spacing w:val="-2"/>
                <w:szCs w:val="22"/>
              </w:rPr>
            </w:pPr>
            <w:r w:rsidRPr="0076601E">
              <w:rPr>
                <w:rFonts w:cs="Arial"/>
                <w:spacing w:val="-2"/>
                <w:szCs w:val="22"/>
              </w:rPr>
              <w:t>1.</w:t>
            </w:r>
          </w:p>
        </w:tc>
        <w:tc>
          <w:tcPr>
            <w:tcW w:w="3060" w:type="dxa"/>
          </w:tcPr>
          <w:p w14:paraId="0C1B90C9" w14:textId="77777777" w:rsidR="002D334C" w:rsidRPr="0076601E" w:rsidRDefault="001A5FB0" w:rsidP="00C73C9B">
            <w:pPr>
              <w:rPr>
                <w:rFonts w:cs="Arial"/>
                <w:spacing w:val="-2"/>
                <w:szCs w:val="22"/>
              </w:rPr>
            </w:pPr>
            <w:r w:rsidRPr="0076601E">
              <w:rPr>
                <w:rFonts w:cs="Arial"/>
                <w:spacing w:val="-2"/>
                <w:szCs w:val="22"/>
              </w:rPr>
              <w:t>Wind</w:t>
            </w:r>
          </w:p>
        </w:tc>
        <w:tc>
          <w:tcPr>
            <w:tcW w:w="810" w:type="dxa"/>
          </w:tcPr>
          <w:p w14:paraId="188E1B74" w14:textId="079506E8" w:rsidR="002D334C" w:rsidRPr="0076601E" w:rsidRDefault="0076601E" w:rsidP="00C73C9B">
            <w:pPr>
              <w:jc w:val="right"/>
              <w:rPr>
                <w:rFonts w:cs="Arial"/>
                <w:spacing w:val="-2"/>
                <w:szCs w:val="22"/>
              </w:rPr>
            </w:pPr>
            <w:r w:rsidRPr="0076601E">
              <w:rPr>
                <w:rFonts w:cs="Arial"/>
                <w:spacing w:val="-2"/>
                <w:szCs w:val="22"/>
              </w:rPr>
              <w:t>41</w:t>
            </w:r>
            <w:r w:rsidR="001A5FB0" w:rsidRPr="0076601E">
              <w:rPr>
                <w:rFonts w:cs="Arial"/>
                <w:spacing w:val="-2"/>
                <w:szCs w:val="22"/>
              </w:rPr>
              <w:t>%</w:t>
            </w:r>
          </w:p>
        </w:tc>
      </w:tr>
      <w:tr w:rsidR="002D334C" w:rsidRPr="0076601E" w14:paraId="07063FBE" w14:textId="77777777" w:rsidTr="002D334C">
        <w:trPr>
          <w:trHeight w:val="234"/>
        </w:trPr>
        <w:tc>
          <w:tcPr>
            <w:tcW w:w="412" w:type="dxa"/>
          </w:tcPr>
          <w:p w14:paraId="46CB83DE" w14:textId="77777777" w:rsidR="002D334C" w:rsidRPr="0076601E" w:rsidRDefault="001A5FB0" w:rsidP="00BF79DB">
            <w:pPr>
              <w:rPr>
                <w:rFonts w:cs="Arial"/>
                <w:spacing w:val="-2"/>
                <w:szCs w:val="22"/>
              </w:rPr>
            </w:pPr>
            <w:r w:rsidRPr="0076601E">
              <w:rPr>
                <w:rFonts w:cs="Arial"/>
                <w:spacing w:val="-2"/>
                <w:szCs w:val="22"/>
              </w:rPr>
              <w:t>2.</w:t>
            </w:r>
          </w:p>
        </w:tc>
        <w:tc>
          <w:tcPr>
            <w:tcW w:w="4140" w:type="dxa"/>
          </w:tcPr>
          <w:p w14:paraId="088EAD06" w14:textId="77777777" w:rsidR="002D334C" w:rsidRPr="0076601E" w:rsidRDefault="001A5FB0" w:rsidP="00BF79DB">
            <w:pPr>
              <w:rPr>
                <w:rFonts w:cs="Arial"/>
                <w:spacing w:val="-2"/>
                <w:szCs w:val="22"/>
              </w:rPr>
            </w:pPr>
            <w:r w:rsidRPr="0076601E">
              <w:rPr>
                <w:rFonts w:cs="Arial"/>
                <w:spacing w:val="-2"/>
                <w:szCs w:val="22"/>
              </w:rPr>
              <w:t>All Other</w:t>
            </w:r>
          </w:p>
        </w:tc>
        <w:tc>
          <w:tcPr>
            <w:tcW w:w="720" w:type="dxa"/>
          </w:tcPr>
          <w:p w14:paraId="64907CB2" w14:textId="71902DD7" w:rsidR="00B23E41" w:rsidRPr="0076601E" w:rsidRDefault="0076601E">
            <w:pPr>
              <w:jc w:val="right"/>
              <w:rPr>
                <w:rFonts w:cs="Arial"/>
                <w:spacing w:val="-2"/>
                <w:szCs w:val="22"/>
              </w:rPr>
            </w:pPr>
            <w:r w:rsidRPr="0076601E">
              <w:rPr>
                <w:rFonts w:cs="Arial"/>
                <w:spacing w:val="-2"/>
                <w:szCs w:val="22"/>
              </w:rPr>
              <w:t>11</w:t>
            </w:r>
            <w:r w:rsidR="001A5FB0" w:rsidRPr="0076601E">
              <w:rPr>
                <w:rFonts w:cs="Arial"/>
                <w:spacing w:val="-2"/>
                <w:szCs w:val="22"/>
              </w:rPr>
              <w:t>%</w:t>
            </w:r>
          </w:p>
        </w:tc>
        <w:tc>
          <w:tcPr>
            <w:tcW w:w="630" w:type="dxa"/>
          </w:tcPr>
          <w:p w14:paraId="160C9760" w14:textId="77777777" w:rsidR="002D334C" w:rsidRPr="0076601E" w:rsidRDefault="002D334C" w:rsidP="00C73C9B">
            <w:pPr>
              <w:rPr>
                <w:rFonts w:cs="Arial"/>
                <w:spacing w:val="-2"/>
                <w:szCs w:val="22"/>
              </w:rPr>
            </w:pPr>
          </w:p>
        </w:tc>
        <w:tc>
          <w:tcPr>
            <w:tcW w:w="540" w:type="dxa"/>
          </w:tcPr>
          <w:p w14:paraId="7C180820" w14:textId="77777777" w:rsidR="002D334C" w:rsidRPr="0076601E" w:rsidRDefault="001A5FB0" w:rsidP="00C73C9B">
            <w:pPr>
              <w:rPr>
                <w:rFonts w:cs="Arial"/>
                <w:spacing w:val="-2"/>
                <w:szCs w:val="22"/>
              </w:rPr>
            </w:pPr>
            <w:r w:rsidRPr="0076601E">
              <w:rPr>
                <w:rFonts w:cs="Arial"/>
                <w:spacing w:val="-2"/>
                <w:szCs w:val="22"/>
              </w:rPr>
              <w:t>2.</w:t>
            </w:r>
          </w:p>
        </w:tc>
        <w:tc>
          <w:tcPr>
            <w:tcW w:w="3060" w:type="dxa"/>
          </w:tcPr>
          <w:p w14:paraId="40FCB40D" w14:textId="77777777" w:rsidR="002D334C" w:rsidRPr="0076601E" w:rsidRDefault="001A5FB0" w:rsidP="00C73C9B">
            <w:pPr>
              <w:rPr>
                <w:rFonts w:cs="Arial"/>
                <w:spacing w:val="-2"/>
                <w:szCs w:val="22"/>
              </w:rPr>
            </w:pPr>
            <w:r w:rsidRPr="0076601E">
              <w:rPr>
                <w:rFonts w:cs="Arial"/>
                <w:spacing w:val="-2"/>
                <w:szCs w:val="22"/>
              </w:rPr>
              <w:t>Earthquake</w:t>
            </w:r>
          </w:p>
        </w:tc>
        <w:tc>
          <w:tcPr>
            <w:tcW w:w="810" w:type="dxa"/>
          </w:tcPr>
          <w:p w14:paraId="39943D73" w14:textId="7C4520D7" w:rsidR="002D334C" w:rsidRPr="0076601E" w:rsidRDefault="0076601E" w:rsidP="00C73C9B">
            <w:pPr>
              <w:jc w:val="right"/>
              <w:rPr>
                <w:rFonts w:cs="Arial"/>
                <w:spacing w:val="-2"/>
                <w:szCs w:val="22"/>
              </w:rPr>
            </w:pPr>
            <w:r w:rsidRPr="0076601E">
              <w:rPr>
                <w:rFonts w:cs="Arial"/>
                <w:spacing w:val="-2"/>
                <w:szCs w:val="22"/>
              </w:rPr>
              <w:t>21</w:t>
            </w:r>
            <w:r w:rsidR="001A5FB0" w:rsidRPr="0076601E">
              <w:rPr>
                <w:rFonts w:cs="Arial"/>
                <w:spacing w:val="-2"/>
                <w:szCs w:val="22"/>
              </w:rPr>
              <w:t>%</w:t>
            </w:r>
          </w:p>
        </w:tc>
      </w:tr>
      <w:tr w:rsidR="002D334C" w:rsidRPr="0076601E" w14:paraId="722CECC2" w14:textId="77777777" w:rsidTr="002D334C">
        <w:trPr>
          <w:trHeight w:val="234"/>
        </w:trPr>
        <w:tc>
          <w:tcPr>
            <w:tcW w:w="412" w:type="dxa"/>
          </w:tcPr>
          <w:p w14:paraId="15C82322" w14:textId="77777777" w:rsidR="002D334C" w:rsidRPr="0076601E" w:rsidRDefault="001A5FB0" w:rsidP="00BF79DB">
            <w:pPr>
              <w:rPr>
                <w:rFonts w:cs="Arial"/>
                <w:spacing w:val="-2"/>
                <w:szCs w:val="22"/>
              </w:rPr>
            </w:pPr>
            <w:r w:rsidRPr="0076601E">
              <w:rPr>
                <w:rFonts w:cs="Arial"/>
                <w:spacing w:val="-2"/>
                <w:szCs w:val="22"/>
              </w:rPr>
              <w:t>3.</w:t>
            </w:r>
          </w:p>
        </w:tc>
        <w:tc>
          <w:tcPr>
            <w:tcW w:w="4140" w:type="dxa"/>
          </w:tcPr>
          <w:p w14:paraId="39F8914A" w14:textId="5CF23E79" w:rsidR="002D334C" w:rsidRPr="0076601E" w:rsidRDefault="006A25F8" w:rsidP="0076601E">
            <w:pPr>
              <w:rPr>
                <w:rFonts w:cs="Arial"/>
                <w:spacing w:val="-2"/>
                <w:szCs w:val="22"/>
              </w:rPr>
            </w:pPr>
            <w:r w:rsidRPr="0076601E">
              <w:rPr>
                <w:rFonts w:cs="Arial"/>
                <w:spacing w:val="-2"/>
                <w:szCs w:val="22"/>
              </w:rPr>
              <w:t xml:space="preserve">Global </w:t>
            </w:r>
            <w:r w:rsidR="0076601E" w:rsidRPr="0076601E">
              <w:rPr>
                <w:rFonts w:cs="Arial"/>
                <w:spacing w:val="-2"/>
                <w:szCs w:val="22"/>
              </w:rPr>
              <w:t>Backup Protections</w:t>
            </w:r>
          </w:p>
        </w:tc>
        <w:tc>
          <w:tcPr>
            <w:tcW w:w="720" w:type="dxa"/>
          </w:tcPr>
          <w:p w14:paraId="0FEA97BB" w14:textId="23A71546" w:rsidR="002D334C" w:rsidRPr="0076601E" w:rsidRDefault="0076601E" w:rsidP="00BF79DB">
            <w:pPr>
              <w:jc w:val="right"/>
              <w:rPr>
                <w:rFonts w:cs="Arial"/>
                <w:spacing w:val="-2"/>
                <w:szCs w:val="22"/>
              </w:rPr>
            </w:pPr>
            <w:r w:rsidRPr="0076601E">
              <w:rPr>
                <w:rFonts w:cs="Arial"/>
                <w:spacing w:val="-2"/>
                <w:szCs w:val="22"/>
              </w:rPr>
              <w:t>10</w:t>
            </w:r>
            <w:r w:rsidR="001A5FB0" w:rsidRPr="0076601E">
              <w:rPr>
                <w:rFonts w:cs="Arial"/>
                <w:spacing w:val="-2"/>
                <w:szCs w:val="22"/>
              </w:rPr>
              <w:t>%</w:t>
            </w:r>
          </w:p>
        </w:tc>
        <w:tc>
          <w:tcPr>
            <w:tcW w:w="630" w:type="dxa"/>
          </w:tcPr>
          <w:p w14:paraId="35CB9E3A" w14:textId="77777777" w:rsidR="002D334C" w:rsidRPr="0076601E" w:rsidRDefault="002D334C" w:rsidP="00C73C9B">
            <w:pPr>
              <w:rPr>
                <w:rFonts w:cs="Arial"/>
                <w:spacing w:val="-2"/>
                <w:szCs w:val="22"/>
              </w:rPr>
            </w:pPr>
          </w:p>
        </w:tc>
        <w:tc>
          <w:tcPr>
            <w:tcW w:w="540" w:type="dxa"/>
          </w:tcPr>
          <w:p w14:paraId="5F81E0E0" w14:textId="77777777" w:rsidR="002D334C" w:rsidRPr="0076601E" w:rsidRDefault="001A5FB0" w:rsidP="00C73C9B">
            <w:pPr>
              <w:rPr>
                <w:rFonts w:cs="Arial"/>
                <w:spacing w:val="-2"/>
                <w:szCs w:val="22"/>
              </w:rPr>
            </w:pPr>
            <w:r w:rsidRPr="0076601E">
              <w:rPr>
                <w:rFonts w:cs="Arial"/>
                <w:spacing w:val="-2"/>
                <w:szCs w:val="22"/>
              </w:rPr>
              <w:t>3.</w:t>
            </w:r>
          </w:p>
        </w:tc>
        <w:tc>
          <w:tcPr>
            <w:tcW w:w="3060" w:type="dxa"/>
          </w:tcPr>
          <w:p w14:paraId="149CC7FF" w14:textId="2C74182C" w:rsidR="002D334C" w:rsidRPr="0076601E" w:rsidRDefault="0076601E" w:rsidP="00C73C9B">
            <w:pPr>
              <w:rPr>
                <w:rFonts w:cs="Arial"/>
                <w:spacing w:val="-2"/>
                <w:szCs w:val="22"/>
              </w:rPr>
            </w:pPr>
            <w:r w:rsidRPr="0076601E">
              <w:rPr>
                <w:rFonts w:cs="Arial"/>
                <w:spacing w:val="-2"/>
                <w:szCs w:val="22"/>
              </w:rPr>
              <w:t>Any Natural Peril</w:t>
            </w:r>
          </w:p>
        </w:tc>
        <w:tc>
          <w:tcPr>
            <w:tcW w:w="810" w:type="dxa"/>
          </w:tcPr>
          <w:p w14:paraId="5DB13436" w14:textId="54D3BB03" w:rsidR="002D334C" w:rsidRPr="0076601E" w:rsidRDefault="0076601E" w:rsidP="00C73C9B">
            <w:pPr>
              <w:jc w:val="right"/>
              <w:rPr>
                <w:rFonts w:cs="Arial"/>
                <w:spacing w:val="-2"/>
                <w:szCs w:val="22"/>
              </w:rPr>
            </w:pPr>
            <w:r w:rsidRPr="0076601E">
              <w:rPr>
                <w:rFonts w:cs="Arial"/>
                <w:spacing w:val="-2"/>
                <w:szCs w:val="22"/>
              </w:rPr>
              <w:t>12</w:t>
            </w:r>
            <w:r w:rsidR="001A5FB0" w:rsidRPr="0076601E">
              <w:rPr>
                <w:rFonts w:cs="Arial"/>
                <w:spacing w:val="-2"/>
                <w:szCs w:val="22"/>
              </w:rPr>
              <w:t>%</w:t>
            </w:r>
          </w:p>
        </w:tc>
      </w:tr>
      <w:tr w:rsidR="002D334C" w:rsidRPr="0076601E" w14:paraId="04F4A64A" w14:textId="77777777" w:rsidTr="002D334C">
        <w:trPr>
          <w:trHeight w:val="234"/>
        </w:trPr>
        <w:tc>
          <w:tcPr>
            <w:tcW w:w="412" w:type="dxa"/>
          </w:tcPr>
          <w:p w14:paraId="4083B2F5" w14:textId="77777777" w:rsidR="002D334C" w:rsidRPr="0076601E" w:rsidRDefault="001A5FB0" w:rsidP="00BF79DB">
            <w:pPr>
              <w:rPr>
                <w:rFonts w:cs="Arial"/>
                <w:spacing w:val="-2"/>
                <w:szCs w:val="22"/>
              </w:rPr>
            </w:pPr>
            <w:r w:rsidRPr="0076601E">
              <w:rPr>
                <w:rFonts w:cs="Arial"/>
                <w:spacing w:val="-2"/>
                <w:szCs w:val="22"/>
              </w:rPr>
              <w:t>4.</w:t>
            </w:r>
          </w:p>
        </w:tc>
        <w:tc>
          <w:tcPr>
            <w:tcW w:w="4140" w:type="dxa"/>
          </w:tcPr>
          <w:p w14:paraId="17752AD0" w14:textId="0AA342EB" w:rsidR="002D334C" w:rsidRPr="0076601E" w:rsidRDefault="0076601E" w:rsidP="00BF79DB">
            <w:pPr>
              <w:rPr>
                <w:rFonts w:cs="Arial"/>
                <w:spacing w:val="-2"/>
                <w:szCs w:val="22"/>
              </w:rPr>
            </w:pPr>
            <w:r w:rsidRPr="0076601E">
              <w:rPr>
                <w:rFonts w:cs="Arial"/>
                <w:spacing w:val="-2"/>
                <w:szCs w:val="22"/>
              </w:rPr>
              <w:t>Europe</w:t>
            </w:r>
          </w:p>
        </w:tc>
        <w:tc>
          <w:tcPr>
            <w:tcW w:w="720" w:type="dxa"/>
          </w:tcPr>
          <w:p w14:paraId="04F81DD2" w14:textId="72323189" w:rsidR="002D334C" w:rsidRPr="0076601E" w:rsidRDefault="0076601E" w:rsidP="00BF79DB">
            <w:pPr>
              <w:jc w:val="right"/>
              <w:rPr>
                <w:rFonts w:cs="Arial"/>
                <w:spacing w:val="-2"/>
                <w:szCs w:val="22"/>
              </w:rPr>
            </w:pPr>
            <w:r w:rsidRPr="0076601E">
              <w:rPr>
                <w:rFonts w:cs="Arial"/>
                <w:spacing w:val="-2"/>
                <w:szCs w:val="22"/>
              </w:rPr>
              <w:t>9</w:t>
            </w:r>
            <w:r w:rsidR="001A5FB0" w:rsidRPr="0076601E">
              <w:rPr>
                <w:rFonts w:cs="Arial"/>
                <w:spacing w:val="-2"/>
                <w:szCs w:val="22"/>
              </w:rPr>
              <w:t>%</w:t>
            </w:r>
          </w:p>
        </w:tc>
        <w:tc>
          <w:tcPr>
            <w:tcW w:w="630" w:type="dxa"/>
          </w:tcPr>
          <w:p w14:paraId="3D9CB3DE" w14:textId="77777777" w:rsidR="002D334C" w:rsidRPr="0076601E" w:rsidRDefault="002D334C" w:rsidP="00C73C9B">
            <w:pPr>
              <w:rPr>
                <w:rFonts w:cs="Arial"/>
                <w:spacing w:val="-2"/>
                <w:szCs w:val="22"/>
              </w:rPr>
            </w:pPr>
          </w:p>
        </w:tc>
        <w:tc>
          <w:tcPr>
            <w:tcW w:w="540" w:type="dxa"/>
          </w:tcPr>
          <w:p w14:paraId="3FAD166D" w14:textId="77777777" w:rsidR="002D334C" w:rsidRPr="0076601E" w:rsidRDefault="001A5FB0" w:rsidP="00C73C9B">
            <w:pPr>
              <w:rPr>
                <w:rFonts w:cs="Arial"/>
                <w:spacing w:val="-2"/>
                <w:szCs w:val="22"/>
              </w:rPr>
            </w:pPr>
            <w:r w:rsidRPr="0076601E">
              <w:rPr>
                <w:rFonts w:cs="Arial"/>
                <w:spacing w:val="-2"/>
                <w:szCs w:val="22"/>
              </w:rPr>
              <w:t>4.</w:t>
            </w:r>
          </w:p>
        </w:tc>
        <w:tc>
          <w:tcPr>
            <w:tcW w:w="3060" w:type="dxa"/>
          </w:tcPr>
          <w:p w14:paraId="6E423813" w14:textId="77777777" w:rsidR="002D334C" w:rsidRPr="0076601E" w:rsidRDefault="006A25F8" w:rsidP="00C73C9B">
            <w:pPr>
              <w:rPr>
                <w:rFonts w:cs="Arial"/>
                <w:spacing w:val="-2"/>
                <w:szCs w:val="22"/>
              </w:rPr>
            </w:pPr>
            <w:r w:rsidRPr="0076601E">
              <w:rPr>
                <w:rFonts w:cs="Arial"/>
                <w:spacing w:val="-2"/>
                <w:szCs w:val="22"/>
              </w:rPr>
              <w:t>Backup Protections</w:t>
            </w:r>
          </w:p>
        </w:tc>
        <w:tc>
          <w:tcPr>
            <w:tcW w:w="810" w:type="dxa"/>
          </w:tcPr>
          <w:p w14:paraId="7D6E20FE" w14:textId="4FAE4B12" w:rsidR="002D334C" w:rsidRPr="0076601E" w:rsidRDefault="0076601E" w:rsidP="00C73C9B">
            <w:pPr>
              <w:jc w:val="right"/>
              <w:rPr>
                <w:rFonts w:cs="Arial"/>
                <w:spacing w:val="-2"/>
                <w:szCs w:val="22"/>
              </w:rPr>
            </w:pPr>
            <w:r w:rsidRPr="0076601E">
              <w:rPr>
                <w:rFonts w:cs="Arial"/>
                <w:spacing w:val="-2"/>
                <w:szCs w:val="22"/>
              </w:rPr>
              <w:t>10</w:t>
            </w:r>
            <w:r w:rsidR="001A5FB0" w:rsidRPr="0076601E">
              <w:rPr>
                <w:rFonts w:cs="Arial"/>
                <w:spacing w:val="-2"/>
                <w:szCs w:val="22"/>
              </w:rPr>
              <w:t>%</w:t>
            </w:r>
          </w:p>
        </w:tc>
      </w:tr>
      <w:tr w:rsidR="002D334C" w:rsidRPr="0076601E" w14:paraId="7AF44991" w14:textId="77777777" w:rsidTr="00A217D6">
        <w:trPr>
          <w:trHeight w:val="234"/>
        </w:trPr>
        <w:tc>
          <w:tcPr>
            <w:tcW w:w="412" w:type="dxa"/>
          </w:tcPr>
          <w:p w14:paraId="389C1BA8" w14:textId="77777777" w:rsidR="002D334C" w:rsidRPr="0076601E" w:rsidRDefault="001A5FB0" w:rsidP="00BF79DB">
            <w:pPr>
              <w:rPr>
                <w:rFonts w:cs="Arial"/>
                <w:spacing w:val="-2"/>
                <w:szCs w:val="22"/>
              </w:rPr>
            </w:pPr>
            <w:r w:rsidRPr="0076601E">
              <w:rPr>
                <w:rFonts w:cs="Arial"/>
                <w:spacing w:val="-2"/>
                <w:szCs w:val="22"/>
              </w:rPr>
              <w:t>5.</w:t>
            </w:r>
          </w:p>
        </w:tc>
        <w:tc>
          <w:tcPr>
            <w:tcW w:w="4140" w:type="dxa"/>
          </w:tcPr>
          <w:p w14:paraId="1CB0BF61" w14:textId="77777777" w:rsidR="0076601E" w:rsidRPr="0076601E" w:rsidRDefault="0076601E" w:rsidP="00BF79DB">
            <w:pPr>
              <w:rPr>
                <w:rFonts w:cs="Arial"/>
                <w:spacing w:val="-2"/>
                <w:szCs w:val="22"/>
              </w:rPr>
            </w:pPr>
            <w:r w:rsidRPr="0076601E">
              <w:rPr>
                <w:rFonts w:cs="Arial"/>
                <w:spacing w:val="-2"/>
                <w:szCs w:val="22"/>
              </w:rPr>
              <w:t>Global Marine/Energy/Terrorism/</w:t>
            </w:r>
          </w:p>
          <w:p w14:paraId="57DDCD67" w14:textId="43AABD76" w:rsidR="002D334C" w:rsidRPr="0076601E" w:rsidRDefault="0076601E" w:rsidP="00BF79DB">
            <w:pPr>
              <w:rPr>
                <w:rFonts w:cs="Arial"/>
                <w:spacing w:val="-2"/>
                <w:szCs w:val="22"/>
              </w:rPr>
            </w:pPr>
            <w:r w:rsidRPr="0076601E">
              <w:rPr>
                <w:rFonts w:cs="Arial"/>
                <w:spacing w:val="-2"/>
                <w:szCs w:val="22"/>
              </w:rPr>
              <w:t>Aviation/Satellite</w:t>
            </w:r>
            <w:r w:rsidR="001A5FB0" w:rsidRPr="0076601E">
              <w:rPr>
                <w:rFonts w:cs="Arial"/>
                <w:spacing w:val="-2"/>
                <w:szCs w:val="22"/>
              </w:rPr>
              <w:t xml:space="preserve"> </w:t>
            </w:r>
          </w:p>
        </w:tc>
        <w:tc>
          <w:tcPr>
            <w:tcW w:w="720" w:type="dxa"/>
            <w:vAlign w:val="bottom"/>
          </w:tcPr>
          <w:p w14:paraId="731DCC4B" w14:textId="77777777" w:rsidR="002D334C" w:rsidRPr="0076601E" w:rsidRDefault="006A25F8" w:rsidP="00766353">
            <w:pPr>
              <w:jc w:val="right"/>
              <w:rPr>
                <w:rFonts w:cs="Arial"/>
                <w:spacing w:val="-2"/>
                <w:szCs w:val="22"/>
              </w:rPr>
            </w:pPr>
            <w:r w:rsidRPr="0076601E">
              <w:rPr>
                <w:rFonts w:cs="Arial"/>
                <w:spacing w:val="-2"/>
                <w:szCs w:val="22"/>
              </w:rPr>
              <w:t>7</w:t>
            </w:r>
            <w:r w:rsidR="001A5FB0" w:rsidRPr="0076601E">
              <w:rPr>
                <w:rFonts w:cs="Arial"/>
                <w:spacing w:val="-2"/>
                <w:szCs w:val="22"/>
              </w:rPr>
              <w:t>%</w:t>
            </w:r>
          </w:p>
        </w:tc>
        <w:tc>
          <w:tcPr>
            <w:tcW w:w="630" w:type="dxa"/>
          </w:tcPr>
          <w:p w14:paraId="59335E51" w14:textId="77777777" w:rsidR="002D334C" w:rsidRPr="0076601E" w:rsidRDefault="002D334C" w:rsidP="00C73C9B">
            <w:pPr>
              <w:rPr>
                <w:rFonts w:cs="Arial"/>
                <w:spacing w:val="-2"/>
                <w:szCs w:val="22"/>
              </w:rPr>
            </w:pPr>
          </w:p>
        </w:tc>
        <w:tc>
          <w:tcPr>
            <w:tcW w:w="540" w:type="dxa"/>
          </w:tcPr>
          <w:p w14:paraId="22B63A0C" w14:textId="77777777" w:rsidR="002D334C" w:rsidRPr="0076601E" w:rsidRDefault="001A5FB0" w:rsidP="00C73C9B">
            <w:pPr>
              <w:rPr>
                <w:rFonts w:cs="Arial"/>
                <w:spacing w:val="-2"/>
                <w:szCs w:val="22"/>
              </w:rPr>
            </w:pPr>
            <w:r w:rsidRPr="0076601E">
              <w:rPr>
                <w:rFonts w:cs="Arial"/>
                <w:spacing w:val="-2"/>
                <w:szCs w:val="22"/>
              </w:rPr>
              <w:t>5.</w:t>
            </w:r>
          </w:p>
        </w:tc>
        <w:tc>
          <w:tcPr>
            <w:tcW w:w="3060" w:type="dxa"/>
          </w:tcPr>
          <w:p w14:paraId="1F20D25F" w14:textId="77777777" w:rsidR="0076601E" w:rsidRPr="0076601E" w:rsidRDefault="0076601E" w:rsidP="00C73C9B">
            <w:pPr>
              <w:rPr>
                <w:rFonts w:cs="Arial"/>
                <w:spacing w:val="-2"/>
                <w:szCs w:val="22"/>
              </w:rPr>
            </w:pPr>
            <w:r w:rsidRPr="0076601E">
              <w:rPr>
                <w:rFonts w:cs="Arial"/>
                <w:spacing w:val="-2"/>
                <w:szCs w:val="22"/>
              </w:rPr>
              <w:t>Marine/Energy/Aviation/</w:t>
            </w:r>
          </w:p>
          <w:p w14:paraId="43DD920F" w14:textId="49334EE4" w:rsidR="002D334C" w:rsidRPr="0076601E" w:rsidRDefault="0076601E" w:rsidP="00C73C9B">
            <w:pPr>
              <w:rPr>
                <w:rFonts w:cs="Arial"/>
                <w:spacing w:val="-2"/>
                <w:szCs w:val="22"/>
              </w:rPr>
            </w:pPr>
            <w:r w:rsidRPr="0076601E">
              <w:rPr>
                <w:rFonts w:cs="Arial"/>
                <w:spacing w:val="-2"/>
                <w:szCs w:val="22"/>
              </w:rPr>
              <w:t>Satellite</w:t>
            </w:r>
          </w:p>
        </w:tc>
        <w:tc>
          <w:tcPr>
            <w:tcW w:w="810" w:type="dxa"/>
            <w:vAlign w:val="bottom"/>
          </w:tcPr>
          <w:p w14:paraId="26393007" w14:textId="045D4504" w:rsidR="002D334C" w:rsidRPr="0076601E" w:rsidRDefault="0076601E" w:rsidP="00766353">
            <w:pPr>
              <w:jc w:val="right"/>
              <w:rPr>
                <w:rFonts w:cs="Arial"/>
                <w:spacing w:val="-2"/>
                <w:szCs w:val="22"/>
              </w:rPr>
            </w:pPr>
            <w:r w:rsidRPr="0076601E">
              <w:rPr>
                <w:rFonts w:cs="Arial"/>
                <w:spacing w:val="-2"/>
                <w:szCs w:val="22"/>
              </w:rPr>
              <w:t>4</w:t>
            </w:r>
            <w:r w:rsidR="001A5FB0" w:rsidRPr="0076601E">
              <w:rPr>
                <w:rFonts w:cs="Arial"/>
                <w:spacing w:val="-2"/>
                <w:szCs w:val="22"/>
              </w:rPr>
              <w:t>%</w:t>
            </w:r>
          </w:p>
        </w:tc>
      </w:tr>
      <w:tr w:rsidR="002D334C" w:rsidRPr="0076601E" w14:paraId="6F7F8B4D" w14:textId="77777777" w:rsidTr="002D334C">
        <w:trPr>
          <w:trHeight w:val="234"/>
        </w:trPr>
        <w:tc>
          <w:tcPr>
            <w:tcW w:w="412" w:type="dxa"/>
          </w:tcPr>
          <w:p w14:paraId="08B73564" w14:textId="77777777" w:rsidR="002D334C" w:rsidRPr="0076601E" w:rsidRDefault="001A5FB0" w:rsidP="002D1E28">
            <w:pPr>
              <w:rPr>
                <w:rFonts w:cs="Arial"/>
                <w:spacing w:val="-2"/>
                <w:szCs w:val="22"/>
              </w:rPr>
            </w:pPr>
            <w:r w:rsidRPr="0076601E">
              <w:rPr>
                <w:rFonts w:cs="Arial"/>
                <w:spacing w:val="-2"/>
                <w:szCs w:val="22"/>
              </w:rPr>
              <w:t>6.</w:t>
            </w:r>
          </w:p>
        </w:tc>
        <w:tc>
          <w:tcPr>
            <w:tcW w:w="4140" w:type="dxa"/>
          </w:tcPr>
          <w:p w14:paraId="7787FE96" w14:textId="46B15197" w:rsidR="002D334C" w:rsidRPr="0076601E" w:rsidRDefault="0076601E" w:rsidP="002D1E28">
            <w:pPr>
              <w:rPr>
                <w:rFonts w:cs="Arial"/>
                <w:spacing w:val="-2"/>
                <w:szCs w:val="22"/>
              </w:rPr>
            </w:pPr>
            <w:r w:rsidRPr="0076601E">
              <w:rPr>
                <w:rFonts w:cs="Arial"/>
                <w:spacing w:val="-2"/>
                <w:szCs w:val="22"/>
              </w:rPr>
              <w:t>Mexico/Central America/South America</w:t>
            </w:r>
          </w:p>
        </w:tc>
        <w:tc>
          <w:tcPr>
            <w:tcW w:w="720" w:type="dxa"/>
          </w:tcPr>
          <w:p w14:paraId="373EC8B6" w14:textId="16824E70" w:rsidR="002D334C" w:rsidRPr="0076601E" w:rsidRDefault="0076601E" w:rsidP="00BF79DB">
            <w:pPr>
              <w:jc w:val="right"/>
              <w:rPr>
                <w:rFonts w:cs="Arial"/>
                <w:spacing w:val="-2"/>
                <w:szCs w:val="22"/>
              </w:rPr>
            </w:pPr>
            <w:r w:rsidRPr="0076601E">
              <w:rPr>
                <w:rFonts w:cs="Arial"/>
                <w:spacing w:val="-2"/>
                <w:szCs w:val="22"/>
              </w:rPr>
              <w:t>6</w:t>
            </w:r>
            <w:r w:rsidR="001A5FB0" w:rsidRPr="0076601E">
              <w:rPr>
                <w:rFonts w:cs="Arial"/>
                <w:spacing w:val="-2"/>
                <w:szCs w:val="22"/>
              </w:rPr>
              <w:t>%</w:t>
            </w:r>
          </w:p>
        </w:tc>
        <w:tc>
          <w:tcPr>
            <w:tcW w:w="630" w:type="dxa"/>
          </w:tcPr>
          <w:p w14:paraId="7EA6D0A5" w14:textId="77777777" w:rsidR="002D334C" w:rsidRPr="0076601E" w:rsidRDefault="002D334C" w:rsidP="00C73C9B">
            <w:pPr>
              <w:rPr>
                <w:rFonts w:cs="Arial"/>
                <w:spacing w:val="-2"/>
                <w:szCs w:val="22"/>
              </w:rPr>
            </w:pPr>
          </w:p>
        </w:tc>
        <w:tc>
          <w:tcPr>
            <w:tcW w:w="540" w:type="dxa"/>
          </w:tcPr>
          <w:p w14:paraId="609F44AC" w14:textId="77777777" w:rsidR="002D334C" w:rsidRPr="0076601E" w:rsidRDefault="001A5FB0" w:rsidP="00C73C9B">
            <w:pPr>
              <w:rPr>
                <w:rFonts w:cs="Arial"/>
                <w:spacing w:val="-2"/>
                <w:szCs w:val="22"/>
              </w:rPr>
            </w:pPr>
            <w:r w:rsidRPr="0076601E">
              <w:rPr>
                <w:rFonts w:cs="Arial"/>
                <w:spacing w:val="-2"/>
                <w:szCs w:val="22"/>
              </w:rPr>
              <w:t>6.</w:t>
            </w:r>
          </w:p>
        </w:tc>
        <w:tc>
          <w:tcPr>
            <w:tcW w:w="3060" w:type="dxa"/>
          </w:tcPr>
          <w:p w14:paraId="591A68B4" w14:textId="09632623" w:rsidR="0076601E" w:rsidRPr="0076601E" w:rsidRDefault="0076601E" w:rsidP="00C73C9B">
            <w:pPr>
              <w:rPr>
                <w:rFonts w:cs="Arial"/>
                <w:spacing w:val="-2"/>
                <w:szCs w:val="22"/>
              </w:rPr>
            </w:pPr>
            <w:r w:rsidRPr="0076601E">
              <w:rPr>
                <w:rFonts w:cs="Arial"/>
                <w:spacing w:val="-2"/>
                <w:szCs w:val="22"/>
              </w:rPr>
              <w:t>Severe Convective Storms</w:t>
            </w:r>
          </w:p>
        </w:tc>
        <w:tc>
          <w:tcPr>
            <w:tcW w:w="810" w:type="dxa"/>
          </w:tcPr>
          <w:p w14:paraId="652FA2A5" w14:textId="77777777" w:rsidR="002D334C" w:rsidRPr="0076601E" w:rsidRDefault="006A25F8" w:rsidP="00C73C9B">
            <w:pPr>
              <w:jc w:val="right"/>
              <w:rPr>
                <w:rFonts w:cs="Arial"/>
                <w:spacing w:val="-2"/>
                <w:szCs w:val="22"/>
              </w:rPr>
            </w:pPr>
            <w:r w:rsidRPr="0076601E">
              <w:rPr>
                <w:rFonts w:cs="Arial"/>
                <w:spacing w:val="-2"/>
                <w:szCs w:val="22"/>
              </w:rPr>
              <w:t>3</w:t>
            </w:r>
            <w:r w:rsidR="001A5FB0" w:rsidRPr="0076601E">
              <w:rPr>
                <w:rFonts w:cs="Arial"/>
                <w:spacing w:val="-2"/>
                <w:szCs w:val="22"/>
              </w:rPr>
              <w:t>%</w:t>
            </w:r>
          </w:p>
        </w:tc>
      </w:tr>
      <w:tr w:rsidR="002D334C" w:rsidRPr="0076601E" w14:paraId="56F17D52" w14:textId="77777777" w:rsidTr="002D334C">
        <w:trPr>
          <w:trHeight w:val="234"/>
        </w:trPr>
        <w:tc>
          <w:tcPr>
            <w:tcW w:w="412" w:type="dxa"/>
          </w:tcPr>
          <w:p w14:paraId="0B0FF061" w14:textId="4EC75B20" w:rsidR="002D334C" w:rsidRPr="0076601E" w:rsidRDefault="001A5FB0" w:rsidP="00BF79DB">
            <w:pPr>
              <w:rPr>
                <w:rFonts w:cs="Arial"/>
                <w:spacing w:val="-2"/>
                <w:szCs w:val="22"/>
              </w:rPr>
            </w:pPr>
            <w:r w:rsidRPr="0076601E">
              <w:rPr>
                <w:rFonts w:cs="Arial"/>
                <w:spacing w:val="-2"/>
                <w:szCs w:val="22"/>
              </w:rPr>
              <w:t>7.</w:t>
            </w:r>
          </w:p>
        </w:tc>
        <w:tc>
          <w:tcPr>
            <w:tcW w:w="4140" w:type="dxa"/>
          </w:tcPr>
          <w:p w14:paraId="7D855FD3" w14:textId="77777777" w:rsidR="002D334C" w:rsidRPr="0076601E" w:rsidRDefault="001A5FB0" w:rsidP="00BF79DB">
            <w:pPr>
              <w:rPr>
                <w:rFonts w:cs="Arial"/>
                <w:spacing w:val="-2"/>
                <w:szCs w:val="22"/>
              </w:rPr>
            </w:pPr>
            <w:r w:rsidRPr="0076601E">
              <w:rPr>
                <w:rFonts w:cs="Arial"/>
                <w:spacing w:val="-2"/>
                <w:szCs w:val="22"/>
              </w:rPr>
              <w:t>Japan</w:t>
            </w:r>
          </w:p>
        </w:tc>
        <w:tc>
          <w:tcPr>
            <w:tcW w:w="720" w:type="dxa"/>
          </w:tcPr>
          <w:p w14:paraId="00BA1067" w14:textId="77777777" w:rsidR="002D334C" w:rsidRPr="0076601E" w:rsidRDefault="006A25F8" w:rsidP="00BF79DB">
            <w:pPr>
              <w:jc w:val="right"/>
              <w:rPr>
                <w:rFonts w:cs="Arial"/>
                <w:spacing w:val="-2"/>
                <w:szCs w:val="22"/>
              </w:rPr>
            </w:pPr>
            <w:r w:rsidRPr="0076601E">
              <w:rPr>
                <w:rFonts w:cs="Arial"/>
                <w:spacing w:val="-2"/>
                <w:szCs w:val="22"/>
              </w:rPr>
              <w:t>6</w:t>
            </w:r>
            <w:r w:rsidR="001A5FB0" w:rsidRPr="0076601E">
              <w:rPr>
                <w:rFonts w:cs="Arial"/>
                <w:spacing w:val="-2"/>
                <w:szCs w:val="22"/>
              </w:rPr>
              <w:t>%</w:t>
            </w:r>
          </w:p>
        </w:tc>
        <w:tc>
          <w:tcPr>
            <w:tcW w:w="630" w:type="dxa"/>
          </w:tcPr>
          <w:p w14:paraId="7D13DE83" w14:textId="77777777" w:rsidR="002D334C" w:rsidRPr="0076601E" w:rsidRDefault="002D334C" w:rsidP="00C73C9B">
            <w:pPr>
              <w:rPr>
                <w:rFonts w:cs="Arial"/>
                <w:spacing w:val="-2"/>
                <w:szCs w:val="22"/>
              </w:rPr>
            </w:pPr>
          </w:p>
        </w:tc>
        <w:tc>
          <w:tcPr>
            <w:tcW w:w="540" w:type="dxa"/>
          </w:tcPr>
          <w:p w14:paraId="7E4C300A" w14:textId="77777777" w:rsidR="002D334C" w:rsidRPr="0076601E" w:rsidRDefault="001A5FB0" w:rsidP="00C73C9B">
            <w:pPr>
              <w:rPr>
                <w:rFonts w:cs="Arial"/>
                <w:spacing w:val="-2"/>
                <w:szCs w:val="22"/>
              </w:rPr>
            </w:pPr>
            <w:r w:rsidRPr="0076601E">
              <w:rPr>
                <w:rFonts w:cs="Arial"/>
                <w:spacing w:val="-2"/>
                <w:szCs w:val="22"/>
              </w:rPr>
              <w:t>7.</w:t>
            </w:r>
          </w:p>
        </w:tc>
        <w:tc>
          <w:tcPr>
            <w:tcW w:w="3060" w:type="dxa"/>
          </w:tcPr>
          <w:p w14:paraId="4BDBDCF4" w14:textId="5AD1A8FB" w:rsidR="002D334C" w:rsidRPr="0076601E" w:rsidRDefault="0076601E" w:rsidP="00C73C9B">
            <w:pPr>
              <w:rPr>
                <w:rFonts w:cs="Arial"/>
                <w:spacing w:val="-2"/>
                <w:szCs w:val="22"/>
              </w:rPr>
            </w:pPr>
            <w:r w:rsidRPr="0076601E">
              <w:rPr>
                <w:rFonts w:cs="Arial"/>
                <w:spacing w:val="-2"/>
                <w:szCs w:val="22"/>
              </w:rPr>
              <w:t>Terrorism</w:t>
            </w:r>
          </w:p>
        </w:tc>
        <w:tc>
          <w:tcPr>
            <w:tcW w:w="810" w:type="dxa"/>
          </w:tcPr>
          <w:p w14:paraId="4CB85714" w14:textId="6A5E5317" w:rsidR="002D334C" w:rsidRPr="0076601E" w:rsidRDefault="0076601E" w:rsidP="00C73C9B">
            <w:pPr>
              <w:jc w:val="right"/>
              <w:rPr>
                <w:rFonts w:cs="Arial"/>
                <w:spacing w:val="-2"/>
                <w:szCs w:val="22"/>
              </w:rPr>
            </w:pPr>
            <w:r w:rsidRPr="0076601E">
              <w:rPr>
                <w:rFonts w:cs="Arial"/>
                <w:spacing w:val="-2"/>
                <w:szCs w:val="22"/>
              </w:rPr>
              <w:t>3</w:t>
            </w:r>
            <w:r w:rsidR="001A5FB0" w:rsidRPr="0076601E">
              <w:rPr>
                <w:rFonts w:cs="Arial"/>
                <w:spacing w:val="-2"/>
                <w:szCs w:val="22"/>
              </w:rPr>
              <w:t>%</w:t>
            </w:r>
          </w:p>
        </w:tc>
      </w:tr>
      <w:tr w:rsidR="002D334C" w:rsidRPr="0076601E" w14:paraId="3381D1E8" w14:textId="77777777" w:rsidTr="002D334C">
        <w:trPr>
          <w:trHeight w:val="234"/>
        </w:trPr>
        <w:tc>
          <w:tcPr>
            <w:tcW w:w="412" w:type="dxa"/>
          </w:tcPr>
          <w:p w14:paraId="09619194" w14:textId="77777777" w:rsidR="002D334C" w:rsidRPr="0076601E" w:rsidRDefault="001A5FB0" w:rsidP="00A163FF">
            <w:pPr>
              <w:rPr>
                <w:rFonts w:cs="Arial"/>
                <w:spacing w:val="-2"/>
                <w:szCs w:val="22"/>
              </w:rPr>
            </w:pPr>
            <w:r w:rsidRPr="0076601E">
              <w:rPr>
                <w:rFonts w:cs="Arial"/>
                <w:spacing w:val="-2"/>
                <w:szCs w:val="22"/>
              </w:rPr>
              <w:t>8.</w:t>
            </w:r>
          </w:p>
        </w:tc>
        <w:tc>
          <w:tcPr>
            <w:tcW w:w="4140" w:type="dxa"/>
          </w:tcPr>
          <w:p w14:paraId="7F1A859F" w14:textId="0382896A" w:rsidR="002D334C" w:rsidRPr="0076601E" w:rsidRDefault="0076601E" w:rsidP="00A163FF">
            <w:pPr>
              <w:rPr>
                <w:rFonts w:cs="Arial"/>
                <w:spacing w:val="-2"/>
                <w:szCs w:val="22"/>
              </w:rPr>
            </w:pPr>
            <w:r w:rsidRPr="0076601E">
              <w:rPr>
                <w:rFonts w:cs="Arial"/>
                <w:spacing w:val="-2"/>
                <w:szCs w:val="22"/>
              </w:rPr>
              <w:t>Australia/New Zealand</w:t>
            </w:r>
            <w:r w:rsidR="001A5FB0" w:rsidRPr="0076601E">
              <w:rPr>
                <w:rFonts w:cs="Arial"/>
                <w:spacing w:val="-2"/>
                <w:szCs w:val="22"/>
              </w:rPr>
              <w:t xml:space="preserve"> </w:t>
            </w:r>
          </w:p>
        </w:tc>
        <w:tc>
          <w:tcPr>
            <w:tcW w:w="720" w:type="dxa"/>
          </w:tcPr>
          <w:p w14:paraId="37852112" w14:textId="6ACAFC40" w:rsidR="00B23E41" w:rsidRPr="0076601E" w:rsidRDefault="0076601E">
            <w:pPr>
              <w:jc w:val="right"/>
              <w:rPr>
                <w:rFonts w:cs="Arial"/>
                <w:spacing w:val="-2"/>
                <w:szCs w:val="22"/>
              </w:rPr>
            </w:pPr>
            <w:r w:rsidRPr="0076601E">
              <w:rPr>
                <w:rFonts w:cs="Arial"/>
                <w:spacing w:val="-2"/>
                <w:szCs w:val="22"/>
              </w:rPr>
              <w:t>4</w:t>
            </w:r>
            <w:r w:rsidR="001A5FB0" w:rsidRPr="0076601E">
              <w:rPr>
                <w:rFonts w:cs="Arial"/>
                <w:spacing w:val="-2"/>
                <w:szCs w:val="22"/>
              </w:rPr>
              <w:t>%</w:t>
            </w:r>
          </w:p>
        </w:tc>
        <w:tc>
          <w:tcPr>
            <w:tcW w:w="630" w:type="dxa"/>
          </w:tcPr>
          <w:p w14:paraId="09527035" w14:textId="77777777" w:rsidR="002D334C" w:rsidRPr="0076601E" w:rsidRDefault="002D334C" w:rsidP="00BF79DB">
            <w:pPr>
              <w:rPr>
                <w:rFonts w:cs="Arial"/>
                <w:spacing w:val="-2"/>
                <w:szCs w:val="22"/>
              </w:rPr>
            </w:pPr>
          </w:p>
        </w:tc>
        <w:tc>
          <w:tcPr>
            <w:tcW w:w="540" w:type="dxa"/>
          </w:tcPr>
          <w:p w14:paraId="3AA74B5D" w14:textId="77777777" w:rsidR="002D334C" w:rsidRPr="0076601E" w:rsidRDefault="001A5FB0" w:rsidP="00BF79DB">
            <w:pPr>
              <w:rPr>
                <w:rFonts w:cs="Arial"/>
                <w:spacing w:val="-2"/>
                <w:szCs w:val="22"/>
              </w:rPr>
            </w:pPr>
            <w:r w:rsidRPr="0076601E">
              <w:rPr>
                <w:rFonts w:cs="Arial"/>
                <w:spacing w:val="-2"/>
                <w:szCs w:val="22"/>
              </w:rPr>
              <w:t>8.</w:t>
            </w:r>
          </w:p>
        </w:tc>
        <w:tc>
          <w:tcPr>
            <w:tcW w:w="3060" w:type="dxa"/>
          </w:tcPr>
          <w:p w14:paraId="3F030BC6" w14:textId="72BD32E1" w:rsidR="002D334C" w:rsidRPr="0076601E" w:rsidRDefault="0076601E" w:rsidP="00BF79DB">
            <w:pPr>
              <w:rPr>
                <w:rFonts w:cs="Arial"/>
                <w:spacing w:val="-2"/>
                <w:szCs w:val="22"/>
              </w:rPr>
            </w:pPr>
            <w:proofErr w:type="spellStart"/>
            <w:r w:rsidRPr="0076601E">
              <w:rPr>
                <w:rFonts w:cs="Arial"/>
                <w:spacing w:val="-2"/>
                <w:szCs w:val="22"/>
              </w:rPr>
              <w:t>Winterstorm</w:t>
            </w:r>
            <w:proofErr w:type="spellEnd"/>
            <w:r w:rsidRPr="0076601E">
              <w:rPr>
                <w:rFonts w:cs="Arial"/>
                <w:spacing w:val="-2"/>
                <w:szCs w:val="22"/>
              </w:rPr>
              <w:t>/Wildfire</w:t>
            </w:r>
          </w:p>
        </w:tc>
        <w:tc>
          <w:tcPr>
            <w:tcW w:w="810" w:type="dxa"/>
          </w:tcPr>
          <w:p w14:paraId="72E76E5D" w14:textId="7D81A404" w:rsidR="002D334C" w:rsidRPr="0076601E" w:rsidRDefault="0076601E" w:rsidP="00BF79DB">
            <w:pPr>
              <w:jc w:val="right"/>
              <w:rPr>
                <w:rFonts w:cs="Arial"/>
                <w:spacing w:val="-2"/>
                <w:szCs w:val="22"/>
              </w:rPr>
            </w:pPr>
            <w:r w:rsidRPr="0076601E">
              <w:rPr>
                <w:rFonts w:cs="Arial"/>
                <w:spacing w:val="-2"/>
                <w:szCs w:val="22"/>
              </w:rPr>
              <w:t>3</w:t>
            </w:r>
            <w:r w:rsidR="001A5FB0" w:rsidRPr="0076601E">
              <w:rPr>
                <w:rFonts w:cs="Arial"/>
                <w:spacing w:val="-2"/>
                <w:szCs w:val="22"/>
              </w:rPr>
              <w:t>%</w:t>
            </w:r>
          </w:p>
        </w:tc>
      </w:tr>
      <w:tr w:rsidR="0076601E" w:rsidRPr="0076601E" w14:paraId="0985494F" w14:textId="77777777" w:rsidTr="002D334C">
        <w:trPr>
          <w:trHeight w:val="234"/>
        </w:trPr>
        <w:tc>
          <w:tcPr>
            <w:tcW w:w="412" w:type="dxa"/>
          </w:tcPr>
          <w:p w14:paraId="4F0E9116" w14:textId="77777777" w:rsidR="0076601E" w:rsidRPr="0076601E" w:rsidRDefault="0076601E" w:rsidP="00A163FF">
            <w:pPr>
              <w:rPr>
                <w:rFonts w:cs="Arial"/>
                <w:spacing w:val="-2"/>
                <w:szCs w:val="22"/>
              </w:rPr>
            </w:pPr>
          </w:p>
        </w:tc>
        <w:tc>
          <w:tcPr>
            <w:tcW w:w="4140" w:type="dxa"/>
          </w:tcPr>
          <w:p w14:paraId="7CE0DF91" w14:textId="77777777" w:rsidR="0076601E" w:rsidRPr="0076601E" w:rsidRDefault="0076601E" w:rsidP="00A163FF">
            <w:pPr>
              <w:rPr>
                <w:rFonts w:cs="Arial"/>
                <w:spacing w:val="-2"/>
                <w:szCs w:val="22"/>
              </w:rPr>
            </w:pPr>
          </w:p>
        </w:tc>
        <w:tc>
          <w:tcPr>
            <w:tcW w:w="720" w:type="dxa"/>
          </w:tcPr>
          <w:p w14:paraId="59EDB110" w14:textId="77777777" w:rsidR="0076601E" w:rsidRPr="0076601E" w:rsidRDefault="0076601E">
            <w:pPr>
              <w:jc w:val="right"/>
              <w:rPr>
                <w:rFonts w:cs="Arial"/>
                <w:spacing w:val="-2"/>
                <w:szCs w:val="22"/>
              </w:rPr>
            </w:pPr>
          </w:p>
        </w:tc>
        <w:tc>
          <w:tcPr>
            <w:tcW w:w="630" w:type="dxa"/>
          </w:tcPr>
          <w:p w14:paraId="0EAEA887" w14:textId="77777777" w:rsidR="0076601E" w:rsidRPr="0076601E" w:rsidRDefault="0076601E" w:rsidP="00BF79DB">
            <w:pPr>
              <w:rPr>
                <w:rFonts w:cs="Arial"/>
                <w:spacing w:val="-2"/>
                <w:szCs w:val="22"/>
              </w:rPr>
            </w:pPr>
          </w:p>
        </w:tc>
        <w:tc>
          <w:tcPr>
            <w:tcW w:w="540" w:type="dxa"/>
          </w:tcPr>
          <w:p w14:paraId="5D84043B" w14:textId="595A08CE" w:rsidR="0076601E" w:rsidRPr="0076601E" w:rsidRDefault="0076601E" w:rsidP="00BF79DB">
            <w:pPr>
              <w:rPr>
                <w:rFonts w:cs="Arial"/>
                <w:spacing w:val="-2"/>
                <w:szCs w:val="22"/>
              </w:rPr>
            </w:pPr>
            <w:r w:rsidRPr="0076601E">
              <w:rPr>
                <w:rFonts w:cs="Arial"/>
                <w:spacing w:val="-2"/>
                <w:szCs w:val="22"/>
              </w:rPr>
              <w:t>9.</w:t>
            </w:r>
          </w:p>
        </w:tc>
        <w:tc>
          <w:tcPr>
            <w:tcW w:w="3060" w:type="dxa"/>
          </w:tcPr>
          <w:p w14:paraId="2CA32653" w14:textId="6E10AE02" w:rsidR="0076601E" w:rsidRPr="0076601E" w:rsidRDefault="0076601E" w:rsidP="00BF79DB">
            <w:pPr>
              <w:rPr>
                <w:rFonts w:cs="Arial"/>
                <w:spacing w:val="-2"/>
                <w:szCs w:val="22"/>
              </w:rPr>
            </w:pPr>
            <w:r w:rsidRPr="0076601E">
              <w:rPr>
                <w:rFonts w:cs="Arial"/>
                <w:spacing w:val="-2"/>
                <w:szCs w:val="22"/>
              </w:rPr>
              <w:t>Flooding</w:t>
            </w:r>
          </w:p>
        </w:tc>
        <w:tc>
          <w:tcPr>
            <w:tcW w:w="810" w:type="dxa"/>
          </w:tcPr>
          <w:p w14:paraId="0A01FE4B" w14:textId="10F08781" w:rsidR="0076601E" w:rsidRPr="0076601E" w:rsidRDefault="0076601E" w:rsidP="00BF79DB">
            <w:pPr>
              <w:jc w:val="right"/>
              <w:rPr>
                <w:rFonts w:cs="Arial"/>
                <w:spacing w:val="-2"/>
                <w:szCs w:val="22"/>
              </w:rPr>
            </w:pPr>
            <w:r w:rsidRPr="0076601E">
              <w:rPr>
                <w:rFonts w:cs="Arial"/>
                <w:spacing w:val="-2"/>
                <w:szCs w:val="22"/>
              </w:rPr>
              <w:t>2%</w:t>
            </w:r>
          </w:p>
        </w:tc>
      </w:tr>
    </w:tbl>
    <w:p w14:paraId="165E8F52" w14:textId="77777777" w:rsidR="0046437D" w:rsidRPr="00D25DF8" w:rsidRDefault="0046437D" w:rsidP="00107976">
      <w:pPr>
        <w:jc w:val="both"/>
        <w:rPr>
          <w:rFonts w:cs="Arial"/>
          <w:color w:val="FF0000"/>
          <w:spacing w:val="-2"/>
          <w:szCs w:val="22"/>
        </w:rPr>
      </w:pPr>
    </w:p>
    <w:p w14:paraId="44ACEEB1" w14:textId="77777777" w:rsidR="00E540B8" w:rsidRPr="0076601E" w:rsidRDefault="00E540B8" w:rsidP="00107976">
      <w:pPr>
        <w:jc w:val="both"/>
        <w:rPr>
          <w:rFonts w:cs="Arial"/>
          <w:spacing w:val="-2"/>
          <w:szCs w:val="22"/>
        </w:rPr>
      </w:pPr>
    </w:p>
    <w:p w14:paraId="394DD517" w14:textId="72760640" w:rsidR="00C5474C" w:rsidRPr="0076601E" w:rsidRDefault="001A5FB0" w:rsidP="00C547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r w:rsidRPr="0076601E">
        <w:rPr>
          <w:rFonts w:cs="Arial"/>
          <w:szCs w:val="22"/>
        </w:rPr>
        <w:t xml:space="preserve">The following table illustrates the diversified risk profile of the Reinsurer’s portfolio by geography </w:t>
      </w:r>
      <w:r w:rsidR="006A25F8" w:rsidRPr="0076601E">
        <w:rPr>
          <w:rFonts w:cs="Arial"/>
          <w:szCs w:val="22"/>
        </w:rPr>
        <w:t>an</w:t>
      </w:r>
      <w:r w:rsidR="0076601E" w:rsidRPr="0076601E">
        <w:rPr>
          <w:rFonts w:cs="Arial"/>
          <w:szCs w:val="22"/>
        </w:rPr>
        <w:t>d peril as at 31 December 2014</w:t>
      </w:r>
      <w:r w:rsidRPr="0076601E">
        <w:rPr>
          <w:rFonts w:cs="Arial"/>
          <w:szCs w:val="22"/>
        </w:rPr>
        <w:t>.</w:t>
      </w:r>
    </w:p>
    <w:p w14:paraId="79F4B68F" w14:textId="77777777" w:rsidR="00C5474C" w:rsidRPr="0076601E" w:rsidRDefault="00C5474C" w:rsidP="00C547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p>
    <w:p w14:paraId="3C0C78AC" w14:textId="45E75B22" w:rsidR="00C5474C" w:rsidRPr="0076601E" w:rsidRDefault="0076601E" w:rsidP="00C547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2"/>
        </w:rPr>
      </w:pPr>
      <w:r w:rsidRPr="0076601E">
        <w:rPr>
          <w:rFonts w:cs="Arial"/>
          <w:b/>
          <w:szCs w:val="22"/>
        </w:rPr>
        <w:t>2014</w:t>
      </w:r>
      <w:r w:rsidR="001A5FB0" w:rsidRPr="0076601E">
        <w:rPr>
          <w:rFonts w:cs="Arial"/>
          <w:b/>
          <w:szCs w:val="22"/>
        </w:rPr>
        <w:t xml:space="preserve"> Retrocessional Reinsurance Portfolio</w:t>
      </w:r>
    </w:p>
    <w:p w14:paraId="457E278A" w14:textId="77777777" w:rsidR="00C5474C" w:rsidRPr="0076601E" w:rsidRDefault="00C5474C" w:rsidP="00834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p>
    <w:p w14:paraId="13BFB6CC" w14:textId="77777777" w:rsidR="006A25F8" w:rsidRPr="0076601E" w:rsidRDefault="001A5FB0" w:rsidP="00834A8C">
      <w:pPr>
        <w:jc w:val="both"/>
        <w:rPr>
          <w:rFonts w:cs="Arial"/>
          <w:spacing w:val="-2"/>
          <w:szCs w:val="22"/>
        </w:rPr>
      </w:pPr>
      <w:r w:rsidRPr="0076601E">
        <w:rPr>
          <w:rFonts w:cs="Arial"/>
          <w:i/>
          <w:spacing w:val="-2"/>
          <w:szCs w:val="22"/>
        </w:rPr>
        <w:t>Geographic Distribution</w:t>
      </w:r>
      <w:r w:rsidRPr="0076601E">
        <w:rPr>
          <w:rFonts w:cs="Arial"/>
          <w:spacing w:val="-2"/>
          <w:szCs w:val="22"/>
        </w:rPr>
        <w:tab/>
      </w:r>
      <w:r w:rsidRPr="0076601E">
        <w:rPr>
          <w:rFonts w:cs="Arial"/>
          <w:spacing w:val="-2"/>
          <w:szCs w:val="22"/>
        </w:rPr>
        <w:tab/>
      </w:r>
      <w:r w:rsidRPr="0076601E">
        <w:rPr>
          <w:rFonts w:cs="Arial"/>
          <w:spacing w:val="-2"/>
          <w:szCs w:val="22"/>
        </w:rPr>
        <w:tab/>
      </w:r>
      <w:r w:rsidRPr="0076601E">
        <w:rPr>
          <w:rFonts w:cs="Arial"/>
          <w:spacing w:val="-2"/>
          <w:szCs w:val="22"/>
        </w:rPr>
        <w:tab/>
      </w:r>
      <w:r w:rsidRPr="0076601E">
        <w:rPr>
          <w:rFonts w:cs="Arial"/>
          <w:spacing w:val="-2"/>
          <w:szCs w:val="22"/>
        </w:rPr>
        <w:tab/>
      </w:r>
      <w:r w:rsidRPr="0076601E">
        <w:rPr>
          <w:rFonts w:cs="Arial"/>
          <w:i/>
          <w:spacing w:val="-2"/>
          <w:szCs w:val="22"/>
        </w:rPr>
        <w:t>Exposure by Risk Peril</w:t>
      </w:r>
    </w:p>
    <w:p w14:paraId="3CD46589" w14:textId="77777777" w:rsidR="00C5474C" w:rsidRPr="00D25DF8" w:rsidRDefault="001A5FB0" w:rsidP="00834A8C">
      <w:pPr>
        <w:jc w:val="both"/>
        <w:rPr>
          <w:rFonts w:cs="Arial"/>
          <w:color w:val="FF0000"/>
          <w:spacing w:val="-2"/>
          <w:szCs w:val="22"/>
        </w:rPr>
      </w:pPr>
      <w:r w:rsidRPr="00D25DF8">
        <w:rPr>
          <w:rFonts w:cs="Arial"/>
          <w:color w:val="FF0000"/>
          <w:spacing w:val="-2"/>
          <w:szCs w:val="22"/>
        </w:rPr>
        <w:tab/>
      </w:r>
      <w:r w:rsidRPr="00D25DF8">
        <w:rPr>
          <w:rFonts w:cs="Arial"/>
          <w:color w:val="FF0000"/>
          <w:spacing w:val="-2"/>
          <w:szCs w:val="22"/>
        </w:rPr>
        <w:tab/>
      </w:r>
      <w:r w:rsidRPr="00D25DF8">
        <w:rPr>
          <w:rFonts w:cs="Arial"/>
          <w:color w:val="FF0000"/>
          <w:spacing w:val="-2"/>
          <w:szCs w:val="22"/>
        </w:rPr>
        <w:tab/>
      </w:r>
    </w:p>
    <w:tbl>
      <w:tblPr>
        <w:tblW w:w="10312" w:type="dxa"/>
        <w:tblInd w:w="-34" w:type="dxa"/>
        <w:tblLayout w:type="fixed"/>
        <w:tblLook w:val="00A0" w:firstRow="1" w:lastRow="0" w:firstColumn="1" w:lastColumn="0" w:noHBand="0" w:noVBand="0"/>
      </w:tblPr>
      <w:tblGrid>
        <w:gridCol w:w="412"/>
        <w:gridCol w:w="4230"/>
        <w:gridCol w:w="720"/>
        <w:gridCol w:w="540"/>
        <w:gridCol w:w="540"/>
        <w:gridCol w:w="3060"/>
        <w:gridCol w:w="810"/>
      </w:tblGrid>
      <w:tr w:rsidR="00C5474C" w:rsidRPr="00D25DF8" w14:paraId="26394CA8" w14:textId="77777777" w:rsidTr="00834A8C">
        <w:trPr>
          <w:trHeight w:val="234"/>
        </w:trPr>
        <w:tc>
          <w:tcPr>
            <w:tcW w:w="412" w:type="dxa"/>
          </w:tcPr>
          <w:p w14:paraId="3B47FFCD" w14:textId="77777777" w:rsidR="00C5474C" w:rsidRPr="0076601E" w:rsidRDefault="001A5FB0" w:rsidP="00834A8C">
            <w:pPr>
              <w:rPr>
                <w:rFonts w:cs="Arial"/>
                <w:spacing w:val="-2"/>
                <w:szCs w:val="22"/>
              </w:rPr>
            </w:pPr>
            <w:r w:rsidRPr="0076601E">
              <w:rPr>
                <w:rFonts w:cs="Arial"/>
                <w:spacing w:val="-2"/>
                <w:szCs w:val="22"/>
              </w:rPr>
              <w:t>1.</w:t>
            </w:r>
          </w:p>
        </w:tc>
        <w:tc>
          <w:tcPr>
            <w:tcW w:w="4230" w:type="dxa"/>
          </w:tcPr>
          <w:p w14:paraId="542D3CCE" w14:textId="77777777" w:rsidR="00C5474C" w:rsidRPr="0076601E" w:rsidRDefault="00834A8C" w:rsidP="00834A8C">
            <w:pPr>
              <w:rPr>
                <w:rFonts w:cs="Arial"/>
                <w:spacing w:val="-2"/>
                <w:szCs w:val="22"/>
              </w:rPr>
            </w:pPr>
            <w:r w:rsidRPr="0076601E">
              <w:rPr>
                <w:rFonts w:cs="Arial"/>
                <w:spacing w:val="-2"/>
                <w:szCs w:val="22"/>
              </w:rPr>
              <w:t>North America/</w:t>
            </w:r>
            <w:r w:rsidR="001A5FB0" w:rsidRPr="0076601E">
              <w:rPr>
                <w:rFonts w:cs="Arial"/>
                <w:spacing w:val="-2"/>
                <w:szCs w:val="22"/>
              </w:rPr>
              <w:t>Caribbean</w:t>
            </w:r>
          </w:p>
        </w:tc>
        <w:tc>
          <w:tcPr>
            <w:tcW w:w="720" w:type="dxa"/>
          </w:tcPr>
          <w:p w14:paraId="668282CD" w14:textId="2E523DE2" w:rsidR="00C5474C" w:rsidRPr="0076601E" w:rsidRDefault="0076601E" w:rsidP="00834A8C">
            <w:pPr>
              <w:jc w:val="right"/>
              <w:rPr>
                <w:rFonts w:cs="Arial"/>
                <w:spacing w:val="-2"/>
                <w:szCs w:val="22"/>
              </w:rPr>
            </w:pPr>
            <w:r w:rsidRPr="0076601E">
              <w:rPr>
                <w:rFonts w:cs="Arial"/>
                <w:spacing w:val="-2"/>
                <w:szCs w:val="22"/>
              </w:rPr>
              <w:t>32</w:t>
            </w:r>
            <w:r w:rsidR="001A5FB0" w:rsidRPr="0076601E">
              <w:rPr>
                <w:rFonts w:cs="Arial"/>
                <w:spacing w:val="-2"/>
                <w:szCs w:val="22"/>
              </w:rPr>
              <w:t>%</w:t>
            </w:r>
          </w:p>
        </w:tc>
        <w:tc>
          <w:tcPr>
            <w:tcW w:w="540" w:type="dxa"/>
          </w:tcPr>
          <w:p w14:paraId="37E0D5C1" w14:textId="77777777" w:rsidR="00C5474C" w:rsidRPr="00D25DF8" w:rsidRDefault="00C5474C" w:rsidP="00834A8C">
            <w:pPr>
              <w:rPr>
                <w:rFonts w:cs="Arial"/>
                <w:color w:val="FF0000"/>
                <w:spacing w:val="-2"/>
                <w:szCs w:val="22"/>
              </w:rPr>
            </w:pPr>
          </w:p>
        </w:tc>
        <w:tc>
          <w:tcPr>
            <w:tcW w:w="540" w:type="dxa"/>
          </w:tcPr>
          <w:p w14:paraId="47751A70" w14:textId="77777777" w:rsidR="00C5474C" w:rsidRPr="0076601E" w:rsidDel="002D334C" w:rsidRDefault="001A5FB0" w:rsidP="00834A8C">
            <w:pPr>
              <w:rPr>
                <w:rFonts w:cs="Arial"/>
                <w:spacing w:val="-2"/>
                <w:szCs w:val="22"/>
              </w:rPr>
            </w:pPr>
            <w:r w:rsidRPr="0076601E">
              <w:rPr>
                <w:rFonts w:cs="Arial"/>
                <w:spacing w:val="-2"/>
                <w:szCs w:val="22"/>
              </w:rPr>
              <w:t>1.</w:t>
            </w:r>
          </w:p>
        </w:tc>
        <w:tc>
          <w:tcPr>
            <w:tcW w:w="3060" w:type="dxa"/>
          </w:tcPr>
          <w:p w14:paraId="728425E8" w14:textId="77777777" w:rsidR="00C5474C" w:rsidRPr="0076601E" w:rsidRDefault="001A5FB0" w:rsidP="00834A8C">
            <w:pPr>
              <w:rPr>
                <w:rFonts w:cs="Arial"/>
                <w:spacing w:val="-2"/>
                <w:szCs w:val="22"/>
              </w:rPr>
            </w:pPr>
            <w:r w:rsidRPr="0076601E">
              <w:rPr>
                <w:rFonts w:cs="Arial"/>
                <w:spacing w:val="-2"/>
                <w:szCs w:val="22"/>
              </w:rPr>
              <w:t>Wind</w:t>
            </w:r>
          </w:p>
        </w:tc>
        <w:tc>
          <w:tcPr>
            <w:tcW w:w="810" w:type="dxa"/>
          </w:tcPr>
          <w:p w14:paraId="52AF32B6" w14:textId="606D7A65" w:rsidR="00C5474C" w:rsidRPr="0076601E" w:rsidRDefault="0076601E" w:rsidP="00834A8C">
            <w:pPr>
              <w:jc w:val="right"/>
              <w:rPr>
                <w:rFonts w:cs="Arial"/>
                <w:spacing w:val="-2"/>
                <w:szCs w:val="22"/>
              </w:rPr>
            </w:pPr>
            <w:r w:rsidRPr="0076601E">
              <w:rPr>
                <w:rFonts w:cs="Arial"/>
                <w:spacing w:val="-2"/>
                <w:szCs w:val="22"/>
              </w:rPr>
              <w:t>44</w:t>
            </w:r>
            <w:r w:rsidR="001A5FB0" w:rsidRPr="0076601E">
              <w:rPr>
                <w:rFonts w:cs="Arial"/>
                <w:spacing w:val="-2"/>
                <w:szCs w:val="22"/>
              </w:rPr>
              <w:t>%</w:t>
            </w:r>
          </w:p>
        </w:tc>
      </w:tr>
      <w:tr w:rsidR="00C5474C" w:rsidRPr="00D25DF8" w14:paraId="66D45F7F" w14:textId="77777777" w:rsidTr="00834A8C">
        <w:trPr>
          <w:trHeight w:val="234"/>
        </w:trPr>
        <w:tc>
          <w:tcPr>
            <w:tcW w:w="412" w:type="dxa"/>
          </w:tcPr>
          <w:p w14:paraId="7F3E8904" w14:textId="77777777" w:rsidR="00C5474C" w:rsidRPr="0076601E" w:rsidRDefault="001A5FB0" w:rsidP="00834A8C">
            <w:pPr>
              <w:rPr>
                <w:rFonts w:cs="Arial"/>
                <w:spacing w:val="-2"/>
                <w:szCs w:val="22"/>
              </w:rPr>
            </w:pPr>
            <w:r w:rsidRPr="0076601E">
              <w:rPr>
                <w:rFonts w:cs="Arial"/>
                <w:spacing w:val="-2"/>
                <w:szCs w:val="22"/>
              </w:rPr>
              <w:t>2.</w:t>
            </w:r>
          </w:p>
        </w:tc>
        <w:tc>
          <w:tcPr>
            <w:tcW w:w="4230" w:type="dxa"/>
          </w:tcPr>
          <w:p w14:paraId="1D1B634E" w14:textId="77777777" w:rsidR="00C5474C" w:rsidRPr="0076601E" w:rsidRDefault="006A25F8" w:rsidP="00834A8C">
            <w:pPr>
              <w:rPr>
                <w:rFonts w:cs="Arial"/>
                <w:spacing w:val="-2"/>
                <w:szCs w:val="22"/>
              </w:rPr>
            </w:pPr>
            <w:r w:rsidRPr="0076601E">
              <w:rPr>
                <w:rFonts w:cs="Arial"/>
                <w:spacing w:val="-2"/>
                <w:szCs w:val="22"/>
              </w:rPr>
              <w:t>All Other</w:t>
            </w:r>
          </w:p>
        </w:tc>
        <w:tc>
          <w:tcPr>
            <w:tcW w:w="720" w:type="dxa"/>
          </w:tcPr>
          <w:p w14:paraId="3EBD5CC3" w14:textId="7FA9D4DA" w:rsidR="00B23E41" w:rsidRPr="0076601E" w:rsidRDefault="0076601E" w:rsidP="00834A8C">
            <w:pPr>
              <w:jc w:val="right"/>
              <w:rPr>
                <w:rFonts w:cs="Arial"/>
                <w:spacing w:val="-2"/>
                <w:szCs w:val="22"/>
              </w:rPr>
            </w:pPr>
            <w:r w:rsidRPr="0076601E">
              <w:rPr>
                <w:rFonts w:cs="Arial"/>
                <w:spacing w:val="-2"/>
                <w:szCs w:val="22"/>
              </w:rPr>
              <w:t>25</w:t>
            </w:r>
            <w:r w:rsidR="001A5FB0" w:rsidRPr="0076601E">
              <w:rPr>
                <w:rFonts w:cs="Arial"/>
                <w:spacing w:val="-2"/>
                <w:szCs w:val="22"/>
              </w:rPr>
              <w:t>%</w:t>
            </w:r>
          </w:p>
        </w:tc>
        <w:tc>
          <w:tcPr>
            <w:tcW w:w="540" w:type="dxa"/>
          </w:tcPr>
          <w:p w14:paraId="019C6BE0" w14:textId="77777777" w:rsidR="00C5474C" w:rsidRPr="00D25DF8" w:rsidRDefault="00C5474C" w:rsidP="00834A8C">
            <w:pPr>
              <w:rPr>
                <w:rFonts w:cs="Arial"/>
                <w:color w:val="FF0000"/>
                <w:spacing w:val="-2"/>
                <w:szCs w:val="22"/>
              </w:rPr>
            </w:pPr>
          </w:p>
        </w:tc>
        <w:tc>
          <w:tcPr>
            <w:tcW w:w="540" w:type="dxa"/>
          </w:tcPr>
          <w:p w14:paraId="68E32B57" w14:textId="77777777" w:rsidR="00C5474C" w:rsidRPr="0076601E" w:rsidRDefault="001A5FB0" w:rsidP="00834A8C">
            <w:pPr>
              <w:rPr>
                <w:rFonts w:cs="Arial"/>
                <w:spacing w:val="-2"/>
                <w:szCs w:val="22"/>
              </w:rPr>
            </w:pPr>
            <w:r w:rsidRPr="0076601E">
              <w:rPr>
                <w:rFonts w:cs="Arial"/>
                <w:spacing w:val="-2"/>
                <w:szCs w:val="22"/>
              </w:rPr>
              <w:t>2.</w:t>
            </w:r>
          </w:p>
        </w:tc>
        <w:tc>
          <w:tcPr>
            <w:tcW w:w="3060" w:type="dxa"/>
          </w:tcPr>
          <w:p w14:paraId="6E02A6EF" w14:textId="77777777" w:rsidR="00C5474C" w:rsidRPr="0076601E" w:rsidRDefault="001A5FB0" w:rsidP="00834A8C">
            <w:pPr>
              <w:rPr>
                <w:rFonts w:cs="Arial"/>
                <w:spacing w:val="-2"/>
                <w:szCs w:val="22"/>
              </w:rPr>
            </w:pPr>
            <w:r w:rsidRPr="0076601E">
              <w:rPr>
                <w:rFonts w:cs="Arial"/>
                <w:spacing w:val="-2"/>
                <w:szCs w:val="22"/>
              </w:rPr>
              <w:t>Earthquake</w:t>
            </w:r>
          </w:p>
        </w:tc>
        <w:tc>
          <w:tcPr>
            <w:tcW w:w="810" w:type="dxa"/>
          </w:tcPr>
          <w:p w14:paraId="76CB0D91" w14:textId="2C4CF6F9" w:rsidR="00C5474C" w:rsidRPr="0076601E" w:rsidRDefault="0076601E" w:rsidP="00834A8C">
            <w:pPr>
              <w:jc w:val="right"/>
              <w:rPr>
                <w:rFonts w:cs="Arial"/>
                <w:spacing w:val="-2"/>
                <w:szCs w:val="22"/>
              </w:rPr>
            </w:pPr>
            <w:r w:rsidRPr="0076601E">
              <w:rPr>
                <w:rFonts w:cs="Arial"/>
                <w:spacing w:val="-2"/>
                <w:szCs w:val="22"/>
              </w:rPr>
              <w:t>27</w:t>
            </w:r>
            <w:r w:rsidR="001A5FB0" w:rsidRPr="0076601E">
              <w:rPr>
                <w:rFonts w:cs="Arial"/>
                <w:spacing w:val="-2"/>
                <w:szCs w:val="22"/>
              </w:rPr>
              <w:t>%</w:t>
            </w:r>
          </w:p>
        </w:tc>
      </w:tr>
      <w:tr w:rsidR="00C5474C" w:rsidRPr="00D25DF8" w14:paraId="5CCE86A7" w14:textId="77777777" w:rsidTr="00834A8C">
        <w:trPr>
          <w:trHeight w:val="234"/>
        </w:trPr>
        <w:tc>
          <w:tcPr>
            <w:tcW w:w="412" w:type="dxa"/>
          </w:tcPr>
          <w:p w14:paraId="7C6073A9" w14:textId="77777777" w:rsidR="00C5474C" w:rsidRPr="0076601E" w:rsidRDefault="001A5FB0" w:rsidP="00834A8C">
            <w:pPr>
              <w:rPr>
                <w:rFonts w:cs="Arial"/>
                <w:spacing w:val="-2"/>
                <w:szCs w:val="22"/>
              </w:rPr>
            </w:pPr>
            <w:r w:rsidRPr="0076601E">
              <w:rPr>
                <w:rFonts w:cs="Arial"/>
                <w:spacing w:val="-2"/>
                <w:szCs w:val="22"/>
              </w:rPr>
              <w:t>3.</w:t>
            </w:r>
          </w:p>
        </w:tc>
        <w:tc>
          <w:tcPr>
            <w:tcW w:w="4230" w:type="dxa"/>
          </w:tcPr>
          <w:p w14:paraId="1B420326" w14:textId="2665F620" w:rsidR="00C5474C" w:rsidRPr="0076601E" w:rsidRDefault="0076601E" w:rsidP="00834A8C">
            <w:pPr>
              <w:rPr>
                <w:rFonts w:cs="Arial"/>
                <w:spacing w:val="-2"/>
                <w:szCs w:val="22"/>
              </w:rPr>
            </w:pPr>
            <w:r w:rsidRPr="0076601E">
              <w:rPr>
                <w:rFonts w:cs="Arial"/>
                <w:spacing w:val="-2"/>
                <w:szCs w:val="22"/>
              </w:rPr>
              <w:t>Global Marine/Energy/Terrorism/ Aviation</w:t>
            </w:r>
          </w:p>
        </w:tc>
        <w:tc>
          <w:tcPr>
            <w:tcW w:w="720" w:type="dxa"/>
          </w:tcPr>
          <w:p w14:paraId="4E7F79E2" w14:textId="77777777" w:rsidR="00C5474C" w:rsidRPr="0076601E" w:rsidRDefault="006A25F8" w:rsidP="00834A8C">
            <w:pPr>
              <w:jc w:val="right"/>
              <w:rPr>
                <w:rFonts w:cs="Arial"/>
                <w:spacing w:val="-2"/>
                <w:szCs w:val="22"/>
              </w:rPr>
            </w:pPr>
            <w:r w:rsidRPr="0076601E">
              <w:rPr>
                <w:rFonts w:cs="Arial"/>
                <w:spacing w:val="-2"/>
                <w:szCs w:val="22"/>
              </w:rPr>
              <w:t>9</w:t>
            </w:r>
            <w:r w:rsidR="001A5FB0" w:rsidRPr="0076601E">
              <w:rPr>
                <w:rFonts w:cs="Arial"/>
                <w:spacing w:val="-2"/>
                <w:szCs w:val="22"/>
              </w:rPr>
              <w:t>%</w:t>
            </w:r>
          </w:p>
        </w:tc>
        <w:tc>
          <w:tcPr>
            <w:tcW w:w="540" w:type="dxa"/>
          </w:tcPr>
          <w:p w14:paraId="0B73ABF8" w14:textId="77777777" w:rsidR="00C5474C" w:rsidRPr="00D25DF8" w:rsidRDefault="00C5474C" w:rsidP="00834A8C">
            <w:pPr>
              <w:rPr>
                <w:rFonts w:cs="Arial"/>
                <w:color w:val="FF0000"/>
                <w:spacing w:val="-2"/>
                <w:szCs w:val="22"/>
              </w:rPr>
            </w:pPr>
          </w:p>
        </w:tc>
        <w:tc>
          <w:tcPr>
            <w:tcW w:w="540" w:type="dxa"/>
          </w:tcPr>
          <w:p w14:paraId="6F990CE7" w14:textId="77777777" w:rsidR="00C5474C" w:rsidRPr="0076601E" w:rsidRDefault="001A5FB0" w:rsidP="00834A8C">
            <w:pPr>
              <w:rPr>
                <w:rFonts w:cs="Arial"/>
                <w:spacing w:val="-2"/>
                <w:szCs w:val="22"/>
              </w:rPr>
            </w:pPr>
            <w:r w:rsidRPr="0076601E">
              <w:rPr>
                <w:rFonts w:cs="Arial"/>
                <w:spacing w:val="-2"/>
                <w:szCs w:val="22"/>
              </w:rPr>
              <w:t>3.</w:t>
            </w:r>
          </w:p>
        </w:tc>
        <w:tc>
          <w:tcPr>
            <w:tcW w:w="3060" w:type="dxa"/>
          </w:tcPr>
          <w:p w14:paraId="5D90E284" w14:textId="07E61FD1" w:rsidR="00C5474C" w:rsidRPr="0076601E" w:rsidRDefault="0076601E" w:rsidP="00834A8C">
            <w:pPr>
              <w:rPr>
                <w:rFonts w:cs="Arial"/>
                <w:spacing w:val="-2"/>
                <w:szCs w:val="22"/>
              </w:rPr>
            </w:pPr>
            <w:r w:rsidRPr="0076601E">
              <w:rPr>
                <w:rFonts w:cs="Arial"/>
                <w:spacing w:val="-2"/>
                <w:szCs w:val="22"/>
              </w:rPr>
              <w:t>Marine/Energy/Aviation</w:t>
            </w:r>
          </w:p>
        </w:tc>
        <w:tc>
          <w:tcPr>
            <w:tcW w:w="810" w:type="dxa"/>
          </w:tcPr>
          <w:p w14:paraId="1A4ED1AD" w14:textId="77777777" w:rsidR="00C5474C" w:rsidRPr="0076601E" w:rsidRDefault="006A25F8" w:rsidP="00834A8C">
            <w:pPr>
              <w:jc w:val="right"/>
              <w:rPr>
                <w:rFonts w:cs="Arial"/>
                <w:spacing w:val="-2"/>
                <w:szCs w:val="22"/>
              </w:rPr>
            </w:pPr>
            <w:r w:rsidRPr="0076601E">
              <w:rPr>
                <w:rFonts w:cs="Arial"/>
                <w:spacing w:val="-2"/>
                <w:szCs w:val="22"/>
              </w:rPr>
              <w:t>9</w:t>
            </w:r>
            <w:r w:rsidR="001A5FB0" w:rsidRPr="0076601E">
              <w:rPr>
                <w:rFonts w:cs="Arial"/>
                <w:spacing w:val="-2"/>
                <w:szCs w:val="22"/>
              </w:rPr>
              <w:t>%</w:t>
            </w:r>
          </w:p>
        </w:tc>
      </w:tr>
      <w:tr w:rsidR="00C5474C" w:rsidRPr="00D25DF8" w14:paraId="506280DB" w14:textId="77777777" w:rsidTr="00834A8C">
        <w:trPr>
          <w:trHeight w:val="234"/>
        </w:trPr>
        <w:tc>
          <w:tcPr>
            <w:tcW w:w="412" w:type="dxa"/>
          </w:tcPr>
          <w:p w14:paraId="7A10A655" w14:textId="77777777" w:rsidR="00C5474C" w:rsidRPr="0076601E" w:rsidRDefault="001A5FB0" w:rsidP="00834A8C">
            <w:pPr>
              <w:rPr>
                <w:rFonts w:cs="Arial"/>
                <w:spacing w:val="-2"/>
                <w:szCs w:val="22"/>
              </w:rPr>
            </w:pPr>
            <w:r w:rsidRPr="0076601E">
              <w:rPr>
                <w:rFonts w:cs="Arial"/>
                <w:spacing w:val="-2"/>
                <w:szCs w:val="22"/>
              </w:rPr>
              <w:t>4.</w:t>
            </w:r>
          </w:p>
        </w:tc>
        <w:tc>
          <w:tcPr>
            <w:tcW w:w="4230" w:type="dxa"/>
          </w:tcPr>
          <w:p w14:paraId="6BC9F9C5" w14:textId="31325451" w:rsidR="00C5474C" w:rsidRPr="0076601E" w:rsidRDefault="0076601E" w:rsidP="00834A8C">
            <w:pPr>
              <w:rPr>
                <w:rFonts w:cs="Arial"/>
                <w:spacing w:val="-2"/>
                <w:szCs w:val="22"/>
              </w:rPr>
            </w:pPr>
            <w:r w:rsidRPr="0076601E">
              <w:rPr>
                <w:rFonts w:cs="Arial"/>
                <w:spacing w:val="-2"/>
                <w:szCs w:val="22"/>
              </w:rPr>
              <w:t>Global Backup Protections</w:t>
            </w:r>
          </w:p>
        </w:tc>
        <w:tc>
          <w:tcPr>
            <w:tcW w:w="720" w:type="dxa"/>
          </w:tcPr>
          <w:p w14:paraId="3E7FF42D" w14:textId="1CB9C575" w:rsidR="00C5474C" w:rsidRPr="0076601E" w:rsidRDefault="0076601E" w:rsidP="00834A8C">
            <w:pPr>
              <w:jc w:val="right"/>
              <w:rPr>
                <w:rFonts w:cs="Arial"/>
                <w:spacing w:val="-2"/>
                <w:szCs w:val="22"/>
              </w:rPr>
            </w:pPr>
            <w:r w:rsidRPr="0076601E">
              <w:rPr>
                <w:rFonts w:cs="Arial"/>
                <w:spacing w:val="-2"/>
                <w:szCs w:val="22"/>
              </w:rPr>
              <w:t>8</w:t>
            </w:r>
            <w:r w:rsidR="001A5FB0" w:rsidRPr="0076601E">
              <w:rPr>
                <w:rFonts w:cs="Arial"/>
                <w:spacing w:val="-2"/>
                <w:szCs w:val="22"/>
              </w:rPr>
              <w:t>%</w:t>
            </w:r>
          </w:p>
        </w:tc>
        <w:tc>
          <w:tcPr>
            <w:tcW w:w="540" w:type="dxa"/>
          </w:tcPr>
          <w:p w14:paraId="4DC734B1" w14:textId="77777777" w:rsidR="00C5474C" w:rsidRPr="00D25DF8" w:rsidRDefault="00C5474C" w:rsidP="00834A8C">
            <w:pPr>
              <w:rPr>
                <w:rFonts w:cs="Arial"/>
                <w:color w:val="FF0000"/>
                <w:spacing w:val="-2"/>
                <w:szCs w:val="22"/>
              </w:rPr>
            </w:pPr>
          </w:p>
        </w:tc>
        <w:tc>
          <w:tcPr>
            <w:tcW w:w="540" w:type="dxa"/>
          </w:tcPr>
          <w:p w14:paraId="6E3D5C0A" w14:textId="77777777" w:rsidR="00C5474C" w:rsidRPr="0076601E" w:rsidRDefault="001A5FB0" w:rsidP="00834A8C">
            <w:pPr>
              <w:rPr>
                <w:rFonts w:cs="Arial"/>
                <w:spacing w:val="-2"/>
                <w:szCs w:val="22"/>
              </w:rPr>
            </w:pPr>
            <w:r w:rsidRPr="0076601E">
              <w:rPr>
                <w:rFonts w:cs="Arial"/>
                <w:spacing w:val="-2"/>
                <w:szCs w:val="22"/>
              </w:rPr>
              <w:t>4.</w:t>
            </w:r>
          </w:p>
        </w:tc>
        <w:tc>
          <w:tcPr>
            <w:tcW w:w="3060" w:type="dxa"/>
          </w:tcPr>
          <w:p w14:paraId="4300E17F" w14:textId="3C8627CC" w:rsidR="00C5474C" w:rsidRPr="0076601E" w:rsidRDefault="0076601E" w:rsidP="00834A8C">
            <w:pPr>
              <w:rPr>
                <w:rFonts w:cs="Arial"/>
                <w:spacing w:val="-2"/>
                <w:szCs w:val="22"/>
              </w:rPr>
            </w:pPr>
            <w:r w:rsidRPr="0076601E">
              <w:rPr>
                <w:rFonts w:cs="Arial"/>
                <w:spacing w:val="-2"/>
                <w:szCs w:val="22"/>
              </w:rPr>
              <w:t>Backup Protections</w:t>
            </w:r>
            <w:r w:rsidR="001A5FB0" w:rsidRPr="0076601E">
              <w:rPr>
                <w:rFonts w:cs="Arial"/>
                <w:spacing w:val="-2"/>
                <w:szCs w:val="22"/>
              </w:rPr>
              <w:t xml:space="preserve"> </w:t>
            </w:r>
          </w:p>
        </w:tc>
        <w:tc>
          <w:tcPr>
            <w:tcW w:w="810" w:type="dxa"/>
          </w:tcPr>
          <w:p w14:paraId="13D79457" w14:textId="147A3FA4" w:rsidR="00C5474C" w:rsidRPr="0076601E" w:rsidRDefault="0076601E" w:rsidP="00834A8C">
            <w:pPr>
              <w:jc w:val="right"/>
              <w:rPr>
                <w:rFonts w:cs="Arial"/>
                <w:spacing w:val="-2"/>
                <w:szCs w:val="22"/>
              </w:rPr>
            </w:pPr>
            <w:r w:rsidRPr="0076601E">
              <w:rPr>
                <w:rFonts w:cs="Arial"/>
                <w:spacing w:val="-2"/>
                <w:szCs w:val="22"/>
              </w:rPr>
              <w:t>8</w:t>
            </w:r>
            <w:r w:rsidR="001A5FB0" w:rsidRPr="0076601E">
              <w:rPr>
                <w:rFonts w:cs="Arial"/>
                <w:spacing w:val="-2"/>
                <w:szCs w:val="22"/>
              </w:rPr>
              <w:t>%</w:t>
            </w:r>
          </w:p>
        </w:tc>
      </w:tr>
      <w:tr w:rsidR="00C5474C" w:rsidRPr="00D25DF8" w14:paraId="3A30E8F1" w14:textId="77777777" w:rsidTr="00834A8C">
        <w:trPr>
          <w:trHeight w:val="234"/>
        </w:trPr>
        <w:tc>
          <w:tcPr>
            <w:tcW w:w="412" w:type="dxa"/>
          </w:tcPr>
          <w:p w14:paraId="6DF634B0" w14:textId="77777777" w:rsidR="00C5474C" w:rsidRPr="0076601E" w:rsidRDefault="001A5FB0" w:rsidP="00834A8C">
            <w:pPr>
              <w:rPr>
                <w:rFonts w:cs="Arial"/>
                <w:spacing w:val="-2"/>
                <w:szCs w:val="22"/>
              </w:rPr>
            </w:pPr>
            <w:r w:rsidRPr="0076601E">
              <w:rPr>
                <w:rFonts w:cs="Arial"/>
                <w:spacing w:val="-2"/>
                <w:szCs w:val="22"/>
              </w:rPr>
              <w:t>5.</w:t>
            </w:r>
          </w:p>
        </w:tc>
        <w:tc>
          <w:tcPr>
            <w:tcW w:w="4230" w:type="dxa"/>
          </w:tcPr>
          <w:p w14:paraId="195029B1" w14:textId="482812C3" w:rsidR="00C5474C" w:rsidRPr="0076601E" w:rsidRDefault="0076601E" w:rsidP="00834A8C">
            <w:pPr>
              <w:rPr>
                <w:rFonts w:cs="Arial"/>
                <w:spacing w:val="-2"/>
                <w:szCs w:val="22"/>
              </w:rPr>
            </w:pPr>
            <w:r w:rsidRPr="0076601E">
              <w:rPr>
                <w:rFonts w:cs="Arial"/>
                <w:spacing w:val="-2"/>
                <w:szCs w:val="22"/>
              </w:rPr>
              <w:t>Europe</w:t>
            </w:r>
          </w:p>
        </w:tc>
        <w:tc>
          <w:tcPr>
            <w:tcW w:w="720" w:type="dxa"/>
          </w:tcPr>
          <w:p w14:paraId="335C388E" w14:textId="623D77FE" w:rsidR="00C5474C" w:rsidRPr="0076601E" w:rsidRDefault="0076601E" w:rsidP="00834A8C">
            <w:pPr>
              <w:jc w:val="right"/>
              <w:rPr>
                <w:rFonts w:cs="Arial"/>
                <w:spacing w:val="-2"/>
                <w:szCs w:val="22"/>
              </w:rPr>
            </w:pPr>
            <w:r w:rsidRPr="0076601E">
              <w:rPr>
                <w:rFonts w:cs="Arial"/>
                <w:spacing w:val="-2"/>
                <w:szCs w:val="22"/>
              </w:rPr>
              <w:t>7%</w:t>
            </w:r>
          </w:p>
        </w:tc>
        <w:tc>
          <w:tcPr>
            <w:tcW w:w="540" w:type="dxa"/>
          </w:tcPr>
          <w:p w14:paraId="73F25D79" w14:textId="77777777" w:rsidR="00C5474C" w:rsidRPr="00D25DF8" w:rsidRDefault="00C5474C" w:rsidP="00834A8C">
            <w:pPr>
              <w:rPr>
                <w:rFonts w:cs="Arial"/>
                <w:color w:val="FF0000"/>
                <w:spacing w:val="-2"/>
                <w:szCs w:val="22"/>
              </w:rPr>
            </w:pPr>
          </w:p>
        </w:tc>
        <w:tc>
          <w:tcPr>
            <w:tcW w:w="540" w:type="dxa"/>
          </w:tcPr>
          <w:p w14:paraId="33F8EC82" w14:textId="77777777" w:rsidR="00C5474C" w:rsidRPr="0076601E" w:rsidRDefault="001A5FB0" w:rsidP="00834A8C">
            <w:pPr>
              <w:rPr>
                <w:rFonts w:cs="Arial"/>
                <w:spacing w:val="-2"/>
                <w:szCs w:val="22"/>
              </w:rPr>
            </w:pPr>
            <w:r w:rsidRPr="0076601E">
              <w:rPr>
                <w:rFonts w:cs="Arial"/>
                <w:spacing w:val="-2"/>
                <w:szCs w:val="22"/>
              </w:rPr>
              <w:t>5.</w:t>
            </w:r>
          </w:p>
        </w:tc>
        <w:tc>
          <w:tcPr>
            <w:tcW w:w="3060" w:type="dxa"/>
          </w:tcPr>
          <w:p w14:paraId="6F961350" w14:textId="77777777" w:rsidR="00C5474C" w:rsidRPr="0076601E" w:rsidRDefault="001A5FB0" w:rsidP="00834A8C">
            <w:pPr>
              <w:rPr>
                <w:rFonts w:cs="Arial"/>
                <w:spacing w:val="-2"/>
                <w:szCs w:val="22"/>
              </w:rPr>
            </w:pPr>
            <w:r w:rsidRPr="0076601E">
              <w:rPr>
                <w:rFonts w:cs="Arial"/>
                <w:spacing w:val="-2"/>
                <w:szCs w:val="22"/>
              </w:rPr>
              <w:t>Severe Convective Storms</w:t>
            </w:r>
          </w:p>
        </w:tc>
        <w:tc>
          <w:tcPr>
            <w:tcW w:w="810" w:type="dxa"/>
          </w:tcPr>
          <w:p w14:paraId="6B6FC6F7" w14:textId="59BE546D" w:rsidR="00C5474C" w:rsidRPr="0076601E" w:rsidRDefault="0076601E" w:rsidP="00834A8C">
            <w:pPr>
              <w:jc w:val="right"/>
              <w:rPr>
                <w:rFonts w:cs="Arial"/>
                <w:spacing w:val="-2"/>
                <w:szCs w:val="22"/>
              </w:rPr>
            </w:pPr>
            <w:r w:rsidRPr="0076601E">
              <w:rPr>
                <w:rFonts w:cs="Arial"/>
                <w:spacing w:val="-2"/>
                <w:szCs w:val="22"/>
              </w:rPr>
              <w:t>5</w:t>
            </w:r>
            <w:r w:rsidR="001A5FB0" w:rsidRPr="0076601E">
              <w:rPr>
                <w:rFonts w:cs="Arial"/>
                <w:spacing w:val="-2"/>
                <w:szCs w:val="22"/>
              </w:rPr>
              <w:t>%</w:t>
            </w:r>
          </w:p>
        </w:tc>
      </w:tr>
      <w:tr w:rsidR="00C5474C" w:rsidRPr="00D25DF8" w14:paraId="7023E113" w14:textId="77777777" w:rsidTr="00834A8C">
        <w:trPr>
          <w:trHeight w:val="234"/>
        </w:trPr>
        <w:tc>
          <w:tcPr>
            <w:tcW w:w="412" w:type="dxa"/>
          </w:tcPr>
          <w:p w14:paraId="01653F18" w14:textId="77777777" w:rsidR="00C5474C" w:rsidRPr="0076601E" w:rsidRDefault="001A5FB0" w:rsidP="00834A8C">
            <w:pPr>
              <w:rPr>
                <w:rFonts w:cs="Arial"/>
                <w:spacing w:val="-2"/>
                <w:szCs w:val="22"/>
              </w:rPr>
            </w:pPr>
            <w:r w:rsidRPr="0076601E">
              <w:rPr>
                <w:rFonts w:cs="Arial"/>
                <w:spacing w:val="-2"/>
                <w:szCs w:val="22"/>
              </w:rPr>
              <w:t>6.</w:t>
            </w:r>
          </w:p>
        </w:tc>
        <w:tc>
          <w:tcPr>
            <w:tcW w:w="4230" w:type="dxa"/>
          </w:tcPr>
          <w:p w14:paraId="24323185" w14:textId="5C90FFD8" w:rsidR="00C5474C" w:rsidRPr="0076601E" w:rsidRDefault="0076601E" w:rsidP="00834A8C">
            <w:pPr>
              <w:rPr>
                <w:rFonts w:cs="Arial"/>
                <w:spacing w:val="-2"/>
                <w:szCs w:val="22"/>
              </w:rPr>
            </w:pPr>
            <w:r w:rsidRPr="0076601E">
              <w:rPr>
                <w:rFonts w:cs="Arial"/>
                <w:spacing w:val="-2"/>
                <w:szCs w:val="22"/>
              </w:rPr>
              <w:t>Australia/New Zealand</w:t>
            </w:r>
          </w:p>
        </w:tc>
        <w:tc>
          <w:tcPr>
            <w:tcW w:w="720" w:type="dxa"/>
          </w:tcPr>
          <w:p w14:paraId="34A27ED4" w14:textId="2FDF4A1C" w:rsidR="00C5474C" w:rsidRPr="0076601E" w:rsidRDefault="0076601E" w:rsidP="00834A8C">
            <w:pPr>
              <w:jc w:val="right"/>
              <w:rPr>
                <w:rFonts w:cs="Arial"/>
                <w:spacing w:val="-2"/>
                <w:szCs w:val="22"/>
              </w:rPr>
            </w:pPr>
            <w:r w:rsidRPr="0076601E">
              <w:rPr>
                <w:rFonts w:cs="Arial"/>
                <w:spacing w:val="-2"/>
                <w:szCs w:val="22"/>
              </w:rPr>
              <w:t>7</w:t>
            </w:r>
            <w:r w:rsidR="001A5FB0" w:rsidRPr="0076601E">
              <w:rPr>
                <w:rFonts w:cs="Arial"/>
                <w:spacing w:val="-2"/>
                <w:szCs w:val="22"/>
              </w:rPr>
              <w:t>%</w:t>
            </w:r>
          </w:p>
        </w:tc>
        <w:tc>
          <w:tcPr>
            <w:tcW w:w="540" w:type="dxa"/>
          </w:tcPr>
          <w:p w14:paraId="58E8633E" w14:textId="77777777" w:rsidR="00C5474C" w:rsidRPr="00D25DF8" w:rsidRDefault="00C5474C" w:rsidP="00834A8C">
            <w:pPr>
              <w:rPr>
                <w:rFonts w:cs="Arial"/>
                <w:color w:val="FF0000"/>
                <w:spacing w:val="-2"/>
                <w:szCs w:val="22"/>
              </w:rPr>
            </w:pPr>
          </w:p>
        </w:tc>
        <w:tc>
          <w:tcPr>
            <w:tcW w:w="540" w:type="dxa"/>
          </w:tcPr>
          <w:p w14:paraId="66342A02" w14:textId="77777777" w:rsidR="00C5474C" w:rsidRPr="0076601E" w:rsidRDefault="001A5FB0" w:rsidP="00834A8C">
            <w:pPr>
              <w:rPr>
                <w:rFonts w:cs="Arial"/>
                <w:spacing w:val="-2"/>
                <w:szCs w:val="22"/>
              </w:rPr>
            </w:pPr>
            <w:r w:rsidRPr="0076601E">
              <w:rPr>
                <w:rFonts w:cs="Arial"/>
                <w:spacing w:val="-2"/>
                <w:szCs w:val="22"/>
              </w:rPr>
              <w:t>6.</w:t>
            </w:r>
          </w:p>
        </w:tc>
        <w:tc>
          <w:tcPr>
            <w:tcW w:w="3060" w:type="dxa"/>
          </w:tcPr>
          <w:p w14:paraId="7A3C8735" w14:textId="3BC9F9F3" w:rsidR="00C5474C" w:rsidRPr="0076601E" w:rsidRDefault="0076601E" w:rsidP="00834A8C">
            <w:pPr>
              <w:rPr>
                <w:rFonts w:cs="Arial"/>
                <w:spacing w:val="-2"/>
                <w:szCs w:val="22"/>
              </w:rPr>
            </w:pPr>
            <w:proofErr w:type="spellStart"/>
            <w:r w:rsidRPr="0076601E">
              <w:rPr>
                <w:rFonts w:cs="Arial"/>
                <w:spacing w:val="-2"/>
                <w:szCs w:val="22"/>
              </w:rPr>
              <w:t>Winterstorm</w:t>
            </w:r>
            <w:proofErr w:type="spellEnd"/>
            <w:r w:rsidRPr="0076601E">
              <w:rPr>
                <w:rFonts w:cs="Arial"/>
                <w:spacing w:val="-2"/>
                <w:szCs w:val="22"/>
              </w:rPr>
              <w:t>/Wildfire</w:t>
            </w:r>
            <w:r w:rsidR="001A5FB0" w:rsidRPr="0076601E">
              <w:rPr>
                <w:rFonts w:cs="Arial"/>
                <w:spacing w:val="-2"/>
                <w:szCs w:val="22"/>
              </w:rPr>
              <w:t xml:space="preserve"> </w:t>
            </w:r>
          </w:p>
        </w:tc>
        <w:tc>
          <w:tcPr>
            <w:tcW w:w="810" w:type="dxa"/>
          </w:tcPr>
          <w:p w14:paraId="7F1BFF73" w14:textId="22D735CB" w:rsidR="00C5474C" w:rsidRPr="0076601E" w:rsidRDefault="0076601E" w:rsidP="00834A8C">
            <w:pPr>
              <w:jc w:val="right"/>
              <w:rPr>
                <w:rFonts w:cs="Arial"/>
                <w:spacing w:val="-2"/>
                <w:szCs w:val="22"/>
              </w:rPr>
            </w:pPr>
            <w:r w:rsidRPr="0076601E">
              <w:rPr>
                <w:rFonts w:cs="Arial"/>
                <w:spacing w:val="-2"/>
                <w:szCs w:val="22"/>
              </w:rPr>
              <w:t>3</w:t>
            </w:r>
            <w:r w:rsidR="001A5FB0" w:rsidRPr="0076601E">
              <w:rPr>
                <w:rFonts w:cs="Arial"/>
                <w:spacing w:val="-2"/>
                <w:szCs w:val="22"/>
              </w:rPr>
              <w:t>%</w:t>
            </w:r>
          </w:p>
        </w:tc>
      </w:tr>
      <w:tr w:rsidR="00C5474C" w:rsidRPr="00D25DF8" w14:paraId="134E57B3" w14:textId="77777777" w:rsidTr="00834A8C">
        <w:trPr>
          <w:trHeight w:val="234"/>
        </w:trPr>
        <w:tc>
          <w:tcPr>
            <w:tcW w:w="412" w:type="dxa"/>
          </w:tcPr>
          <w:p w14:paraId="2B7E9150" w14:textId="77777777" w:rsidR="00C5474C" w:rsidRPr="0076601E" w:rsidRDefault="001A5FB0" w:rsidP="00834A8C">
            <w:pPr>
              <w:rPr>
                <w:rFonts w:cs="Arial"/>
                <w:spacing w:val="-2"/>
                <w:szCs w:val="22"/>
              </w:rPr>
            </w:pPr>
            <w:r w:rsidRPr="0076601E">
              <w:rPr>
                <w:rFonts w:cs="Arial"/>
                <w:spacing w:val="-2"/>
                <w:szCs w:val="22"/>
              </w:rPr>
              <w:t>7.</w:t>
            </w:r>
          </w:p>
        </w:tc>
        <w:tc>
          <w:tcPr>
            <w:tcW w:w="4230" w:type="dxa"/>
          </w:tcPr>
          <w:p w14:paraId="319963D5" w14:textId="77777777" w:rsidR="00C5474C" w:rsidRPr="0076601E" w:rsidRDefault="006A25F8" w:rsidP="00834A8C">
            <w:pPr>
              <w:rPr>
                <w:rFonts w:cs="Arial"/>
                <w:spacing w:val="-2"/>
                <w:szCs w:val="22"/>
              </w:rPr>
            </w:pPr>
            <w:r w:rsidRPr="0076601E">
              <w:rPr>
                <w:rFonts w:cs="Arial"/>
                <w:spacing w:val="-2"/>
                <w:szCs w:val="22"/>
              </w:rPr>
              <w:t>Japan</w:t>
            </w:r>
          </w:p>
        </w:tc>
        <w:tc>
          <w:tcPr>
            <w:tcW w:w="720" w:type="dxa"/>
          </w:tcPr>
          <w:p w14:paraId="6497BDF0" w14:textId="1A78E31D" w:rsidR="00C5474C" w:rsidRPr="0076601E" w:rsidRDefault="0076601E" w:rsidP="00834A8C">
            <w:pPr>
              <w:jc w:val="right"/>
              <w:rPr>
                <w:rFonts w:cs="Arial"/>
                <w:spacing w:val="-2"/>
                <w:szCs w:val="22"/>
              </w:rPr>
            </w:pPr>
            <w:r w:rsidRPr="0076601E">
              <w:rPr>
                <w:rFonts w:cs="Arial"/>
                <w:spacing w:val="-2"/>
                <w:szCs w:val="22"/>
              </w:rPr>
              <w:t>6</w:t>
            </w:r>
            <w:r w:rsidR="001A5FB0" w:rsidRPr="0076601E">
              <w:rPr>
                <w:rFonts w:cs="Arial"/>
                <w:spacing w:val="-2"/>
                <w:szCs w:val="22"/>
              </w:rPr>
              <w:t>%</w:t>
            </w:r>
          </w:p>
        </w:tc>
        <w:tc>
          <w:tcPr>
            <w:tcW w:w="540" w:type="dxa"/>
          </w:tcPr>
          <w:p w14:paraId="2C5E9F0B" w14:textId="77777777" w:rsidR="00C5474C" w:rsidRPr="00D25DF8" w:rsidRDefault="00C5474C" w:rsidP="00834A8C">
            <w:pPr>
              <w:rPr>
                <w:rFonts w:cs="Arial"/>
                <w:color w:val="FF0000"/>
                <w:spacing w:val="-2"/>
                <w:szCs w:val="22"/>
              </w:rPr>
            </w:pPr>
          </w:p>
        </w:tc>
        <w:tc>
          <w:tcPr>
            <w:tcW w:w="540" w:type="dxa"/>
          </w:tcPr>
          <w:p w14:paraId="45083054" w14:textId="77777777" w:rsidR="00C5474C" w:rsidRPr="0076601E" w:rsidRDefault="001A5FB0" w:rsidP="00834A8C">
            <w:pPr>
              <w:rPr>
                <w:rFonts w:cs="Arial"/>
                <w:spacing w:val="-2"/>
                <w:szCs w:val="22"/>
              </w:rPr>
            </w:pPr>
            <w:r w:rsidRPr="0076601E">
              <w:rPr>
                <w:rFonts w:cs="Arial"/>
                <w:spacing w:val="-2"/>
                <w:szCs w:val="22"/>
              </w:rPr>
              <w:t>7.</w:t>
            </w:r>
          </w:p>
        </w:tc>
        <w:tc>
          <w:tcPr>
            <w:tcW w:w="3060" w:type="dxa"/>
          </w:tcPr>
          <w:p w14:paraId="6632DD5B" w14:textId="7127405C" w:rsidR="00C5474C" w:rsidRPr="0076601E" w:rsidRDefault="0076601E" w:rsidP="00834A8C">
            <w:pPr>
              <w:rPr>
                <w:rFonts w:cs="Arial"/>
                <w:spacing w:val="-2"/>
                <w:szCs w:val="22"/>
              </w:rPr>
            </w:pPr>
            <w:r w:rsidRPr="0076601E">
              <w:rPr>
                <w:rFonts w:cs="Arial"/>
                <w:spacing w:val="-2"/>
                <w:szCs w:val="22"/>
              </w:rPr>
              <w:t>Flooding</w:t>
            </w:r>
          </w:p>
        </w:tc>
        <w:tc>
          <w:tcPr>
            <w:tcW w:w="810" w:type="dxa"/>
          </w:tcPr>
          <w:p w14:paraId="4862D9E7" w14:textId="77777777" w:rsidR="006A25F8" w:rsidRPr="0076601E" w:rsidRDefault="006A25F8" w:rsidP="00834A8C">
            <w:pPr>
              <w:jc w:val="right"/>
              <w:rPr>
                <w:rFonts w:cs="Arial"/>
                <w:spacing w:val="-2"/>
                <w:szCs w:val="22"/>
              </w:rPr>
            </w:pPr>
            <w:r w:rsidRPr="0076601E">
              <w:rPr>
                <w:rFonts w:cs="Arial"/>
                <w:spacing w:val="-2"/>
                <w:szCs w:val="22"/>
              </w:rPr>
              <w:t>2</w:t>
            </w:r>
            <w:r w:rsidR="001A5FB0" w:rsidRPr="0076601E">
              <w:rPr>
                <w:rFonts w:cs="Arial"/>
                <w:spacing w:val="-2"/>
                <w:szCs w:val="22"/>
              </w:rPr>
              <w:t>%</w:t>
            </w:r>
          </w:p>
        </w:tc>
      </w:tr>
      <w:tr w:rsidR="00C5474C" w:rsidRPr="00D25DF8" w14:paraId="357CA8C9" w14:textId="77777777" w:rsidTr="00834A8C">
        <w:trPr>
          <w:trHeight w:val="234"/>
        </w:trPr>
        <w:tc>
          <w:tcPr>
            <w:tcW w:w="412" w:type="dxa"/>
          </w:tcPr>
          <w:p w14:paraId="3F872D44" w14:textId="77777777" w:rsidR="00C5474C" w:rsidRPr="0076601E" w:rsidRDefault="001A5FB0" w:rsidP="00834A8C">
            <w:pPr>
              <w:rPr>
                <w:rFonts w:cs="Arial"/>
                <w:spacing w:val="-2"/>
                <w:szCs w:val="22"/>
              </w:rPr>
            </w:pPr>
            <w:r w:rsidRPr="0076601E">
              <w:rPr>
                <w:rFonts w:cs="Arial"/>
                <w:spacing w:val="-2"/>
                <w:szCs w:val="22"/>
              </w:rPr>
              <w:t>8.</w:t>
            </w:r>
          </w:p>
        </w:tc>
        <w:tc>
          <w:tcPr>
            <w:tcW w:w="4230" w:type="dxa"/>
          </w:tcPr>
          <w:p w14:paraId="3FE06F3B" w14:textId="77777777" w:rsidR="00C5474C" w:rsidRPr="0076601E" w:rsidRDefault="006A25F8" w:rsidP="00834A8C">
            <w:pPr>
              <w:rPr>
                <w:rFonts w:cs="Arial"/>
                <w:spacing w:val="-2"/>
                <w:szCs w:val="22"/>
              </w:rPr>
            </w:pPr>
            <w:r w:rsidRPr="0076601E">
              <w:rPr>
                <w:rFonts w:cs="Arial"/>
                <w:spacing w:val="-2"/>
                <w:szCs w:val="22"/>
              </w:rPr>
              <w:t>Mexico/Central America/South America</w:t>
            </w:r>
          </w:p>
        </w:tc>
        <w:tc>
          <w:tcPr>
            <w:tcW w:w="720" w:type="dxa"/>
          </w:tcPr>
          <w:p w14:paraId="201808FF" w14:textId="77777777" w:rsidR="00C5474C" w:rsidRPr="0076601E" w:rsidRDefault="006A25F8" w:rsidP="00834A8C">
            <w:pPr>
              <w:jc w:val="right"/>
              <w:rPr>
                <w:rFonts w:cs="Arial"/>
                <w:spacing w:val="-2"/>
                <w:szCs w:val="22"/>
              </w:rPr>
            </w:pPr>
            <w:r w:rsidRPr="0076601E">
              <w:rPr>
                <w:rFonts w:cs="Arial"/>
                <w:spacing w:val="-2"/>
                <w:szCs w:val="22"/>
              </w:rPr>
              <w:t>6</w:t>
            </w:r>
            <w:r w:rsidR="001A5FB0" w:rsidRPr="0076601E">
              <w:rPr>
                <w:rFonts w:cs="Arial"/>
                <w:spacing w:val="-2"/>
                <w:szCs w:val="22"/>
              </w:rPr>
              <w:t>%</w:t>
            </w:r>
          </w:p>
        </w:tc>
        <w:tc>
          <w:tcPr>
            <w:tcW w:w="540" w:type="dxa"/>
          </w:tcPr>
          <w:p w14:paraId="551DDAF4" w14:textId="77777777" w:rsidR="00C5474C" w:rsidRPr="00D25DF8" w:rsidRDefault="00C5474C" w:rsidP="00834A8C">
            <w:pPr>
              <w:rPr>
                <w:rFonts w:cs="Arial"/>
                <w:color w:val="FF0000"/>
                <w:spacing w:val="-2"/>
                <w:szCs w:val="22"/>
              </w:rPr>
            </w:pPr>
          </w:p>
        </w:tc>
        <w:tc>
          <w:tcPr>
            <w:tcW w:w="540" w:type="dxa"/>
          </w:tcPr>
          <w:p w14:paraId="7565A4F2" w14:textId="77777777" w:rsidR="00C5474C" w:rsidRPr="0076601E" w:rsidRDefault="006A25F8" w:rsidP="00834A8C">
            <w:pPr>
              <w:rPr>
                <w:rFonts w:cs="Arial"/>
                <w:spacing w:val="-2"/>
                <w:szCs w:val="22"/>
              </w:rPr>
            </w:pPr>
            <w:r w:rsidRPr="0076601E">
              <w:rPr>
                <w:rFonts w:cs="Arial"/>
                <w:spacing w:val="-2"/>
                <w:szCs w:val="22"/>
              </w:rPr>
              <w:t>8.</w:t>
            </w:r>
          </w:p>
        </w:tc>
        <w:tc>
          <w:tcPr>
            <w:tcW w:w="3060" w:type="dxa"/>
          </w:tcPr>
          <w:p w14:paraId="5775BDBE" w14:textId="77777777" w:rsidR="00C5474C" w:rsidRPr="0076601E" w:rsidRDefault="006A25F8" w:rsidP="00834A8C">
            <w:pPr>
              <w:rPr>
                <w:rFonts w:cs="Arial"/>
                <w:spacing w:val="-2"/>
                <w:szCs w:val="22"/>
              </w:rPr>
            </w:pPr>
            <w:r w:rsidRPr="0076601E">
              <w:rPr>
                <w:rFonts w:cs="Arial"/>
                <w:spacing w:val="-2"/>
                <w:szCs w:val="22"/>
              </w:rPr>
              <w:t>Terrorism</w:t>
            </w:r>
          </w:p>
        </w:tc>
        <w:tc>
          <w:tcPr>
            <w:tcW w:w="810" w:type="dxa"/>
          </w:tcPr>
          <w:p w14:paraId="5AFCF62B" w14:textId="2D8681ED" w:rsidR="00C5474C" w:rsidRPr="0076601E" w:rsidRDefault="0076601E" w:rsidP="00834A8C">
            <w:pPr>
              <w:jc w:val="right"/>
              <w:rPr>
                <w:rFonts w:cs="Arial"/>
                <w:spacing w:val="-2"/>
                <w:szCs w:val="22"/>
              </w:rPr>
            </w:pPr>
            <w:r w:rsidRPr="0076601E">
              <w:rPr>
                <w:rFonts w:cs="Arial"/>
                <w:spacing w:val="-2"/>
                <w:szCs w:val="22"/>
              </w:rPr>
              <w:t>2</w:t>
            </w:r>
            <w:r w:rsidR="006A25F8" w:rsidRPr="0076601E">
              <w:rPr>
                <w:rFonts w:cs="Arial"/>
                <w:spacing w:val="-2"/>
                <w:szCs w:val="22"/>
              </w:rPr>
              <w:t>%</w:t>
            </w:r>
          </w:p>
        </w:tc>
      </w:tr>
    </w:tbl>
    <w:p w14:paraId="0A6406B5" w14:textId="77777777" w:rsidR="00704875" w:rsidRPr="00D25DF8" w:rsidRDefault="00704875" w:rsidP="00834A8C">
      <w:pPr>
        <w:jc w:val="both"/>
        <w:rPr>
          <w:rFonts w:cs="Arial"/>
          <w:color w:val="FF0000"/>
          <w:spacing w:val="-2"/>
          <w:szCs w:val="22"/>
        </w:rPr>
      </w:pPr>
    </w:p>
    <w:p w14:paraId="3A61FF82" w14:textId="77777777" w:rsidR="007B1E0A" w:rsidRPr="00D25DF8" w:rsidRDefault="007B1E0A" w:rsidP="00834A8C">
      <w:pPr>
        <w:jc w:val="both"/>
        <w:rPr>
          <w:rFonts w:cs="Arial"/>
          <w:color w:val="FF0000"/>
          <w:spacing w:val="-2"/>
          <w:szCs w:val="22"/>
        </w:rPr>
      </w:pPr>
    </w:p>
    <w:p w14:paraId="5C93E914" w14:textId="77777777" w:rsidR="003772DB" w:rsidRPr="0076601E" w:rsidRDefault="001A5FB0" w:rsidP="00E34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Cs w:val="22"/>
        </w:rPr>
      </w:pPr>
      <w:bookmarkStart w:id="3" w:name="OLE_LINK12"/>
      <w:bookmarkStart w:id="4" w:name="OLE_LINK13"/>
      <w:bookmarkEnd w:id="1"/>
      <w:bookmarkEnd w:id="2"/>
      <w:r w:rsidRPr="0076601E">
        <w:rPr>
          <w:rFonts w:cs="Arial"/>
          <w:b/>
          <w:szCs w:val="22"/>
        </w:rPr>
        <w:t xml:space="preserve">5. </w:t>
      </w:r>
      <w:r w:rsidRPr="0076601E">
        <w:rPr>
          <w:rFonts w:cs="Arial"/>
          <w:b/>
          <w:szCs w:val="22"/>
        </w:rPr>
        <w:tab/>
      </w:r>
      <w:r w:rsidR="00834A8C" w:rsidRPr="0076601E">
        <w:rPr>
          <w:rFonts w:cs="Arial"/>
          <w:b/>
          <w:szCs w:val="22"/>
        </w:rPr>
        <w:t>LOSS RESERVES</w:t>
      </w:r>
    </w:p>
    <w:p w14:paraId="31618FB7" w14:textId="77777777" w:rsidR="006A25F8" w:rsidRDefault="006A25F8" w:rsidP="00261BD5">
      <w:pPr>
        <w:pStyle w:val="BodyText"/>
        <w:kinsoku w:val="0"/>
        <w:overflowPunct w:val="0"/>
        <w:spacing w:before="31"/>
        <w:ind w:right="391"/>
        <w:contextualSpacing/>
        <w:rPr>
          <w:rFonts w:cs="Arial"/>
          <w:spacing w:val="0"/>
          <w:sz w:val="22"/>
          <w:szCs w:val="22"/>
        </w:rPr>
      </w:pPr>
      <w:r w:rsidRPr="0076601E">
        <w:rPr>
          <w:rFonts w:cs="Arial"/>
          <w:spacing w:val="0"/>
          <w:sz w:val="22"/>
          <w:szCs w:val="22"/>
        </w:rPr>
        <w:t>The following disclosures on loss reserves are included for information and relate speciﬁcally to the Reinsurer and are reﬂected through the valuations of investments held by the Company.</w:t>
      </w:r>
    </w:p>
    <w:p w14:paraId="170A1CB2" w14:textId="77777777" w:rsidR="00261BD5" w:rsidRPr="0076601E" w:rsidRDefault="00261BD5" w:rsidP="00261BD5">
      <w:pPr>
        <w:pStyle w:val="BodyText"/>
        <w:kinsoku w:val="0"/>
        <w:overflowPunct w:val="0"/>
        <w:spacing w:before="31"/>
        <w:ind w:right="391"/>
        <w:contextualSpacing/>
        <w:rPr>
          <w:rFonts w:cs="Arial"/>
          <w:spacing w:val="0"/>
          <w:sz w:val="22"/>
          <w:szCs w:val="22"/>
        </w:rPr>
      </w:pPr>
    </w:p>
    <w:p w14:paraId="06D32518" w14:textId="77777777" w:rsidR="006A25F8" w:rsidRDefault="006A25F8" w:rsidP="00261BD5">
      <w:pPr>
        <w:pStyle w:val="BodyText"/>
        <w:kinsoku w:val="0"/>
        <w:overflowPunct w:val="0"/>
        <w:spacing w:before="57"/>
        <w:ind w:right="391"/>
        <w:contextualSpacing/>
        <w:rPr>
          <w:rFonts w:cs="Arial"/>
          <w:spacing w:val="0"/>
          <w:sz w:val="22"/>
          <w:szCs w:val="22"/>
        </w:rPr>
      </w:pPr>
      <w:r w:rsidRPr="0076601E">
        <w:rPr>
          <w:rFonts w:cs="Arial"/>
          <w:spacing w:val="0"/>
          <w:sz w:val="22"/>
          <w:szCs w:val="22"/>
        </w:rPr>
        <w:t>The reserve for unpaid losses and loss expenses recorded by the Reinsurer includes estimates for losses incurred but not reported as well as losses pending settlement.</w:t>
      </w:r>
    </w:p>
    <w:p w14:paraId="3742C19B" w14:textId="77777777" w:rsidR="00261BD5" w:rsidRPr="0076601E" w:rsidRDefault="00261BD5" w:rsidP="00261BD5">
      <w:pPr>
        <w:pStyle w:val="BodyText"/>
        <w:kinsoku w:val="0"/>
        <w:overflowPunct w:val="0"/>
        <w:spacing w:before="57"/>
        <w:ind w:right="391"/>
        <w:contextualSpacing/>
        <w:rPr>
          <w:rFonts w:cs="Arial"/>
          <w:spacing w:val="0"/>
          <w:sz w:val="22"/>
          <w:szCs w:val="22"/>
        </w:rPr>
      </w:pPr>
    </w:p>
    <w:p w14:paraId="6D42B360" w14:textId="77777777" w:rsidR="006A25F8" w:rsidRDefault="006A25F8" w:rsidP="00261BD5">
      <w:pPr>
        <w:pStyle w:val="BodyText"/>
        <w:kinsoku w:val="0"/>
        <w:overflowPunct w:val="0"/>
        <w:spacing w:before="57"/>
        <w:ind w:right="391"/>
        <w:contextualSpacing/>
        <w:rPr>
          <w:rFonts w:cs="Arial"/>
          <w:spacing w:val="0"/>
          <w:sz w:val="22"/>
          <w:szCs w:val="22"/>
        </w:rPr>
      </w:pPr>
      <w:r w:rsidRPr="0076601E">
        <w:rPr>
          <w:rFonts w:cs="Arial"/>
          <w:spacing w:val="0"/>
          <w:sz w:val="22"/>
          <w:szCs w:val="22"/>
        </w:rPr>
        <w:t xml:space="preserve">The Reinsurer makes a provision for losses on contracts only when an event that is covered by the contract has occurred. When a potential loss event has occurred, the Reinsurer uses its own models and historical loss analysis data as well as assessments from counter-parties to estimate the level of reserves required. In addition, the Reinsurer records risk margin to reﬂect uncertainty surrounding </w:t>
      </w:r>
      <w:proofErr w:type="spellStart"/>
      <w:r w:rsidRPr="0076601E">
        <w:rPr>
          <w:rFonts w:cs="Arial"/>
          <w:spacing w:val="0"/>
          <w:sz w:val="22"/>
          <w:szCs w:val="22"/>
        </w:rPr>
        <w:t>cashﬂows</w:t>
      </w:r>
      <w:proofErr w:type="spellEnd"/>
      <w:r w:rsidRPr="0076601E">
        <w:rPr>
          <w:rFonts w:cs="Arial"/>
          <w:spacing w:val="0"/>
          <w:sz w:val="22"/>
          <w:szCs w:val="22"/>
        </w:rPr>
        <w:t xml:space="preserve"> relating to loss reserves.</w:t>
      </w:r>
    </w:p>
    <w:p w14:paraId="4110A97C" w14:textId="77777777" w:rsidR="00261BD5" w:rsidRPr="0076601E" w:rsidRDefault="00261BD5" w:rsidP="00261BD5">
      <w:pPr>
        <w:pStyle w:val="BodyText"/>
        <w:kinsoku w:val="0"/>
        <w:overflowPunct w:val="0"/>
        <w:spacing w:before="57"/>
        <w:ind w:right="391"/>
        <w:contextualSpacing/>
        <w:rPr>
          <w:rFonts w:cs="Arial"/>
          <w:spacing w:val="0"/>
          <w:sz w:val="22"/>
          <w:szCs w:val="22"/>
        </w:rPr>
      </w:pPr>
    </w:p>
    <w:p w14:paraId="32E869C7" w14:textId="77777777" w:rsidR="006A25F8" w:rsidRDefault="006A25F8" w:rsidP="00261BD5">
      <w:pPr>
        <w:pStyle w:val="BodyText"/>
        <w:kinsoku w:val="0"/>
        <w:overflowPunct w:val="0"/>
        <w:spacing w:before="57"/>
        <w:ind w:right="391"/>
        <w:contextualSpacing/>
        <w:rPr>
          <w:rFonts w:cs="Arial"/>
          <w:spacing w:val="0"/>
          <w:sz w:val="22"/>
          <w:szCs w:val="22"/>
        </w:rPr>
      </w:pPr>
      <w:r w:rsidRPr="0076601E">
        <w:rPr>
          <w:rFonts w:cs="Arial"/>
          <w:spacing w:val="0"/>
          <w:sz w:val="22"/>
          <w:szCs w:val="22"/>
        </w:rPr>
        <w:t>Future adjustments to the amounts recorded as of period-end, resulting from the continual review process, as well as differences between estimates and ultimate settlements, will be reﬂected in the Reinsurer’s Statement of Operations in future periods when such adjustments become known. Future developments may result in losses and loss expenses materially greater or less than the reserve provided.</w:t>
      </w:r>
    </w:p>
    <w:p w14:paraId="79FB93C7" w14:textId="77777777" w:rsidR="00261BD5" w:rsidRPr="0076601E" w:rsidRDefault="00261BD5" w:rsidP="006A25F8">
      <w:pPr>
        <w:pStyle w:val="BodyText"/>
        <w:kinsoku w:val="0"/>
        <w:overflowPunct w:val="0"/>
        <w:spacing w:before="57"/>
        <w:ind w:right="389"/>
        <w:rPr>
          <w:rFonts w:cs="Arial"/>
          <w:spacing w:val="0"/>
          <w:sz w:val="22"/>
          <w:szCs w:val="22"/>
        </w:rPr>
      </w:pPr>
    </w:p>
    <w:p w14:paraId="192ED388" w14:textId="532880A4" w:rsidR="006A25F8" w:rsidRPr="0076601E" w:rsidRDefault="0076601E" w:rsidP="006A25F8">
      <w:pPr>
        <w:pStyle w:val="BodyText"/>
        <w:kinsoku w:val="0"/>
        <w:overflowPunct w:val="0"/>
        <w:spacing w:before="57"/>
        <w:ind w:right="389"/>
        <w:rPr>
          <w:rFonts w:cs="Arial"/>
          <w:spacing w:val="0"/>
          <w:sz w:val="22"/>
          <w:szCs w:val="22"/>
        </w:rPr>
      </w:pPr>
      <w:r w:rsidRPr="0076601E">
        <w:rPr>
          <w:rFonts w:cs="Arial"/>
          <w:spacing w:val="0"/>
          <w:sz w:val="22"/>
          <w:szCs w:val="22"/>
        </w:rPr>
        <w:t>During 2015</w:t>
      </w:r>
      <w:r w:rsidR="006A25F8" w:rsidRPr="0076601E">
        <w:rPr>
          <w:rFonts w:cs="Arial"/>
          <w:spacing w:val="0"/>
          <w:sz w:val="22"/>
          <w:szCs w:val="22"/>
        </w:rPr>
        <w:t>, the Reinsurer paid claims of $</w:t>
      </w:r>
      <w:r w:rsidRPr="0076601E">
        <w:rPr>
          <w:rFonts w:cs="Arial"/>
          <w:spacing w:val="0"/>
          <w:sz w:val="22"/>
          <w:szCs w:val="22"/>
        </w:rPr>
        <w:t>53,182,138 (2014 $41,921,429)</w:t>
      </w:r>
      <w:r w:rsidR="006A25F8" w:rsidRPr="0076601E">
        <w:rPr>
          <w:rFonts w:cs="Arial"/>
          <w:spacing w:val="0"/>
          <w:sz w:val="22"/>
          <w:szCs w:val="22"/>
        </w:rPr>
        <w:t xml:space="preserve"> pertaining to Superstorm Sandy in October 2012. In addition, $</w:t>
      </w:r>
      <w:r w:rsidRPr="0076601E">
        <w:rPr>
          <w:rFonts w:cs="Arial"/>
          <w:spacing w:val="0"/>
          <w:sz w:val="22"/>
          <w:szCs w:val="22"/>
        </w:rPr>
        <w:t>24,390,527 (2014 $10,128,514)</w:t>
      </w:r>
      <w:r w:rsidR="006A25F8" w:rsidRPr="0076601E">
        <w:rPr>
          <w:rFonts w:cs="Arial"/>
          <w:spacing w:val="0"/>
          <w:sz w:val="22"/>
          <w:szCs w:val="22"/>
        </w:rPr>
        <w:t xml:space="preserve"> was paid in relation to 2014 </w:t>
      </w:r>
      <w:r w:rsidRPr="0076601E">
        <w:rPr>
          <w:rFonts w:cs="Arial"/>
          <w:spacing w:val="0"/>
          <w:sz w:val="22"/>
          <w:szCs w:val="22"/>
        </w:rPr>
        <w:t xml:space="preserve">and 2015 </w:t>
      </w:r>
      <w:r w:rsidR="006A25F8" w:rsidRPr="0076601E">
        <w:rPr>
          <w:rFonts w:cs="Arial"/>
          <w:spacing w:val="0"/>
          <w:sz w:val="22"/>
          <w:szCs w:val="22"/>
        </w:rPr>
        <w:t>U</w:t>
      </w:r>
      <w:r w:rsidR="00766353">
        <w:rPr>
          <w:rFonts w:cs="Arial"/>
          <w:spacing w:val="0"/>
          <w:sz w:val="22"/>
          <w:szCs w:val="22"/>
        </w:rPr>
        <w:t>.</w:t>
      </w:r>
      <w:r w:rsidR="006A25F8" w:rsidRPr="0076601E">
        <w:rPr>
          <w:rFonts w:cs="Arial"/>
          <w:spacing w:val="0"/>
          <w:sz w:val="22"/>
          <w:szCs w:val="22"/>
        </w:rPr>
        <w:t>S</w:t>
      </w:r>
      <w:r w:rsidR="00766353">
        <w:rPr>
          <w:rFonts w:cs="Arial"/>
          <w:spacing w:val="0"/>
          <w:sz w:val="22"/>
          <w:szCs w:val="22"/>
        </w:rPr>
        <w:t>.</w:t>
      </w:r>
      <w:r w:rsidR="006A25F8" w:rsidRPr="0076601E">
        <w:rPr>
          <w:rFonts w:cs="Arial"/>
          <w:spacing w:val="0"/>
          <w:sz w:val="22"/>
          <w:szCs w:val="22"/>
        </w:rPr>
        <w:t xml:space="preserve"> Severe Convective Storm </w:t>
      </w:r>
      <w:r w:rsidRPr="0076601E">
        <w:rPr>
          <w:rFonts w:cs="Arial"/>
          <w:spacing w:val="0"/>
          <w:sz w:val="22"/>
          <w:szCs w:val="22"/>
        </w:rPr>
        <w:t>and U.S</w:t>
      </w:r>
      <w:r w:rsidR="00766353">
        <w:rPr>
          <w:rFonts w:cs="Arial"/>
          <w:spacing w:val="0"/>
          <w:sz w:val="22"/>
          <w:szCs w:val="22"/>
        </w:rPr>
        <w:t>.</w:t>
      </w:r>
      <w:r w:rsidRPr="0076601E">
        <w:rPr>
          <w:rFonts w:cs="Arial"/>
          <w:spacing w:val="0"/>
          <w:sz w:val="22"/>
          <w:szCs w:val="22"/>
        </w:rPr>
        <w:t xml:space="preserve"> </w:t>
      </w:r>
      <w:proofErr w:type="spellStart"/>
      <w:r w:rsidRPr="0076601E">
        <w:rPr>
          <w:rFonts w:cs="Arial"/>
          <w:spacing w:val="0"/>
          <w:sz w:val="22"/>
          <w:szCs w:val="22"/>
        </w:rPr>
        <w:t>Winterstorm</w:t>
      </w:r>
      <w:proofErr w:type="spellEnd"/>
      <w:r w:rsidRPr="0076601E">
        <w:rPr>
          <w:rFonts w:cs="Arial"/>
          <w:spacing w:val="0"/>
          <w:sz w:val="22"/>
          <w:szCs w:val="22"/>
        </w:rPr>
        <w:t xml:space="preserve"> </w:t>
      </w:r>
      <w:r w:rsidR="006A25F8" w:rsidRPr="0076601E">
        <w:rPr>
          <w:rFonts w:cs="Arial"/>
          <w:spacing w:val="0"/>
          <w:sz w:val="22"/>
          <w:szCs w:val="22"/>
        </w:rPr>
        <w:t>exposure</w:t>
      </w:r>
      <w:r w:rsidRPr="0076601E">
        <w:rPr>
          <w:rFonts w:cs="Arial"/>
          <w:spacing w:val="0"/>
          <w:sz w:val="22"/>
          <w:szCs w:val="22"/>
        </w:rPr>
        <w:t>s</w:t>
      </w:r>
      <w:r w:rsidR="006A25F8" w:rsidRPr="0076601E">
        <w:rPr>
          <w:rFonts w:cs="Arial"/>
          <w:spacing w:val="0"/>
          <w:sz w:val="22"/>
          <w:szCs w:val="22"/>
        </w:rPr>
        <w:t>.</w:t>
      </w:r>
    </w:p>
    <w:p w14:paraId="3475D2E3" w14:textId="77777777" w:rsidR="00556FE6" w:rsidRPr="00C24374" w:rsidRDefault="00556FE6" w:rsidP="00E343B0">
      <w:pPr>
        <w:jc w:val="both"/>
        <w:rPr>
          <w:rFonts w:cs="Arial"/>
          <w:szCs w:val="22"/>
        </w:rPr>
      </w:pPr>
    </w:p>
    <w:p w14:paraId="27281712" w14:textId="77777777" w:rsidR="00834A8C" w:rsidRPr="00C24374" w:rsidRDefault="00834A8C" w:rsidP="00E343B0">
      <w:pPr>
        <w:jc w:val="both"/>
        <w:rPr>
          <w:rFonts w:cs="Arial"/>
          <w:szCs w:val="22"/>
        </w:rPr>
      </w:pPr>
    </w:p>
    <w:p w14:paraId="26B2198D" w14:textId="737467A6" w:rsidR="0076601E" w:rsidRPr="00D25DF8" w:rsidRDefault="001A5FB0" w:rsidP="00E34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color w:val="FF0000"/>
          <w:szCs w:val="22"/>
        </w:rPr>
      </w:pPr>
      <w:bookmarkStart w:id="5" w:name="OLE_LINK16"/>
      <w:r w:rsidRPr="00C24374">
        <w:rPr>
          <w:rFonts w:cs="Arial"/>
          <w:b/>
          <w:szCs w:val="22"/>
        </w:rPr>
        <w:t>6.</w:t>
      </w:r>
      <w:r w:rsidRPr="00C24374">
        <w:rPr>
          <w:rFonts w:cs="Arial"/>
          <w:b/>
          <w:szCs w:val="22"/>
        </w:rPr>
        <w:tab/>
      </w:r>
      <w:r w:rsidR="00834A8C" w:rsidRPr="00C24374">
        <w:rPr>
          <w:rFonts w:cs="Arial"/>
          <w:b/>
          <w:szCs w:val="22"/>
        </w:rPr>
        <w:t>CAPITAL SHARE TRANSACTIONS</w:t>
      </w:r>
    </w:p>
    <w:p w14:paraId="7D7A0C4D" w14:textId="53B92F55" w:rsidR="00FF3F8D" w:rsidRDefault="0076601E" w:rsidP="00261BD5">
      <w:pPr>
        <w:pStyle w:val="BodyText"/>
        <w:kinsoku w:val="0"/>
        <w:overflowPunct w:val="0"/>
        <w:spacing w:before="57"/>
        <w:ind w:right="391"/>
        <w:contextualSpacing/>
        <w:rPr>
          <w:rFonts w:cs="Arial"/>
          <w:spacing w:val="0"/>
          <w:sz w:val="22"/>
          <w:szCs w:val="22"/>
        </w:rPr>
      </w:pPr>
      <w:r w:rsidRPr="0076601E">
        <w:rPr>
          <w:rFonts w:cs="Arial"/>
          <w:spacing w:val="0"/>
          <w:sz w:val="22"/>
          <w:szCs w:val="22"/>
        </w:rPr>
        <w:t>As</w:t>
      </w:r>
      <w:r>
        <w:rPr>
          <w:rFonts w:cs="Arial"/>
          <w:spacing w:val="0"/>
          <w:sz w:val="22"/>
          <w:szCs w:val="22"/>
        </w:rPr>
        <w:t xml:space="preserve"> of 31 December 2014, the Company</w:t>
      </w:r>
      <w:r w:rsidR="00FF3F8D">
        <w:rPr>
          <w:rFonts w:cs="Arial"/>
          <w:spacing w:val="0"/>
          <w:sz w:val="22"/>
          <w:szCs w:val="22"/>
        </w:rPr>
        <w:t xml:space="preserve"> has </w:t>
      </w:r>
      <w:proofErr w:type="spellStart"/>
      <w:r w:rsidR="00FF3F8D">
        <w:rPr>
          <w:rFonts w:cs="Arial"/>
          <w:spacing w:val="0"/>
          <w:sz w:val="22"/>
          <w:szCs w:val="22"/>
        </w:rPr>
        <w:t>authorised</w:t>
      </w:r>
      <w:proofErr w:type="spellEnd"/>
      <w:r w:rsidR="00FF3F8D">
        <w:rPr>
          <w:rFonts w:cs="Arial"/>
          <w:spacing w:val="0"/>
          <w:sz w:val="22"/>
          <w:szCs w:val="22"/>
        </w:rPr>
        <w:t xml:space="preserve"> share capital of US$74,019,867.40 divided into 500,000,000 unclassified shares of US$0.0001 each and B Shares of such nominal value as the Board of Directors of the Company (the “Board”) may determine upon issue. On 28 October 2015, the Board re-designated the </w:t>
      </w:r>
      <w:proofErr w:type="spellStart"/>
      <w:r w:rsidR="00FF3F8D">
        <w:rPr>
          <w:rFonts w:cs="Arial"/>
          <w:spacing w:val="0"/>
          <w:sz w:val="22"/>
          <w:szCs w:val="22"/>
        </w:rPr>
        <w:t>authorised</w:t>
      </w:r>
      <w:proofErr w:type="spellEnd"/>
      <w:r w:rsidR="00FF3F8D">
        <w:rPr>
          <w:rFonts w:cs="Arial"/>
          <w:spacing w:val="0"/>
          <w:sz w:val="22"/>
          <w:szCs w:val="22"/>
        </w:rPr>
        <w:t xml:space="preserve"> share capital of the Company such that it is divided into 1,500,000,000 unclassified shares of US$0.0001 each and B Shares of such nominal value as the Board may determine upon issue</w:t>
      </w:r>
      <w:r w:rsidR="00766353">
        <w:rPr>
          <w:rFonts w:cs="Arial"/>
          <w:spacing w:val="0"/>
          <w:sz w:val="22"/>
          <w:szCs w:val="22"/>
        </w:rPr>
        <w:t>.</w:t>
      </w:r>
      <w:r w:rsidR="00FF3F8D">
        <w:rPr>
          <w:rFonts w:cs="Arial"/>
          <w:spacing w:val="0"/>
          <w:sz w:val="22"/>
          <w:szCs w:val="22"/>
        </w:rPr>
        <w:t xml:space="preserve"> </w:t>
      </w:r>
    </w:p>
    <w:p w14:paraId="3695616A" w14:textId="77777777" w:rsidR="00766353" w:rsidRDefault="00766353" w:rsidP="00261BD5">
      <w:pPr>
        <w:pStyle w:val="BodyText"/>
        <w:kinsoku w:val="0"/>
        <w:overflowPunct w:val="0"/>
        <w:spacing w:before="57"/>
        <w:ind w:right="391"/>
        <w:contextualSpacing/>
        <w:rPr>
          <w:rFonts w:cs="Arial"/>
          <w:spacing w:val="0"/>
          <w:sz w:val="22"/>
          <w:szCs w:val="22"/>
        </w:rPr>
      </w:pPr>
    </w:p>
    <w:p w14:paraId="76A4F52F" w14:textId="5F0AA629" w:rsidR="00766353" w:rsidRPr="00766353" w:rsidRDefault="00766353" w:rsidP="00261BD5">
      <w:pPr>
        <w:pStyle w:val="BodyText"/>
        <w:kinsoku w:val="0"/>
        <w:overflowPunct w:val="0"/>
        <w:spacing w:before="57"/>
        <w:ind w:right="391"/>
        <w:contextualSpacing/>
        <w:rPr>
          <w:rFonts w:cs="Arial"/>
          <w:spacing w:val="0"/>
          <w:sz w:val="22"/>
          <w:szCs w:val="22"/>
        </w:rPr>
      </w:pPr>
      <w:r w:rsidRPr="00A217D6">
        <w:rPr>
          <w:rFonts w:cs="Arial"/>
          <w:spacing w:val="0"/>
          <w:sz w:val="22"/>
          <w:szCs w:val="22"/>
        </w:rPr>
        <w:t>As of 31 December 2015 and 2014, the Company has issued 273,224,673 and 303,582,970 Class 1 Ordinary Shares (the “Shares”), respectively. On 2 November 2015, the Company issued 88,435,018 C Shares (the “C Shares”). In addition, the Company issued an additional 3,400,000 C Shares on 7 December 2015, resulting in a total of 91,835,018 C Shares as at 31 December 2015.</w:t>
      </w:r>
    </w:p>
    <w:p w14:paraId="6B8D9BFA" w14:textId="77777777" w:rsidR="00766353" w:rsidRDefault="00766353" w:rsidP="00261BD5">
      <w:pPr>
        <w:pStyle w:val="BodyText"/>
        <w:kinsoku w:val="0"/>
        <w:overflowPunct w:val="0"/>
        <w:spacing w:before="115"/>
        <w:ind w:right="391"/>
        <w:contextualSpacing/>
        <w:rPr>
          <w:rFonts w:cs="Arial"/>
          <w:spacing w:val="0"/>
          <w:sz w:val="22"/>
          <w:szCs w:val="22"/>
        </w:rPr>
      </w:pPr>
    </w:p>
    <w:p w14:paraId="4C931982" w14:textId="77777777" w:rsidR="003772DB" w:rsidRPr="00FF3F8D" w:rsidRDefault="006A25F8" w:rsidP="00261BD5">
      <w:pPr>
        <w:pStyle w:val="BodyText"/>
        <w:kinsoku w:val="0"/>
        <w:overflowPunct w:val="0"/>
        <w:spacing w:before="115"/>
        <w:ind w:right="391"/>
        <w:contextualSpacing/>
        <w:rPr>
          <w:rFonts w:cs="Arial"/>
          <w:spacing w:val="0"/>
          <w:sz w:val="22"/>
          <w:szCs w:val="22"/>
        </w:rPr>
      </w:pPr>
      <w:r w:rsidRPr="00FF3F8D">
        <w:rPr>
          <w:rFonts w:cs="Arial"/>
          <w:spacing w:val="0"/>
          <w:sz w:val="22"/>
          <w:szCs w:val="22"/>
        </w:rPr>
        <w:t>Transactions in Shares during the year, and the Shares outstanding and the Net Asset Value (“NAV”) per Share are as follows:</w:t>
      </w:r>
    </w:p>
    <w:p w14:paraId="424670BC" w14:textId="77777777" w:rsidR="0003700F" w:rsidRPr="00FF3F8D" w:rsidRDefault="0003700F" w:rsidP="00391350">
      <w:pPr>
        <w:widowControl w:val="0"/>
        <w:autoSpaceDE w:val="0"/>
        <w:autoSpaceDN w:val="0"/>
        <w:adjustRightInd w:val="0"/>
        <w:spacing w:after="240"/>
        <w:rPr>
          <w:rFonts w:cs="Arial"/>
          <w:b/>
          <w:szCs w:val="22"/>
        </w:rPr>
      </w:pPr>
    </w:p>
    <w:p w14:paraId="235FB457" w14:textId="5750580D" w:rsidR="00A67A97" w:rsidRPr="00FF3F8D" w:rsidRDefault="001A5FB0" w:rsidP="00391350">
      <w:pPr>
        <w:widowControl w:val="0"/>
        <w:autoSpaceDE w:val="0"/>
        <w:autoSpaceDN w:val="0"/>
        <w:adjustRightInd w:val="0"/>
        <w:spacing w:after="240"/>
        <w:rPr>
          <w:rFonts w:cs="Arial"/>
          <w:i/>
          <w:szCs w:val="22"/>
        </w:rPr>
      </w:pPr>
      <w:r w:rsidRPr="00FF3F8D">
        <w:rPr>
          <w:rFonts w:cs="Arial"/>
          <w:i/>
          <w:szCs w:val="22"/>
        </w:rPr>
        <w:t xml:space="preserve">31 December </w:t>
      </w:r>
      <w:bookmarkEnd w:id="5"/>
      <w:bookmarkEnd w:id="3"/>
      <w:bookmarkEnd w:id="4"/>
      <w:r w:rsidR="00FF3F8D" w:rsidRPr="00FF3F8D">
        <w:rPr>
          <w:rFonts w:cs="Arial"/>
          <w:i/>
          <w:szCs w:val="22"/>
        </w:rPr>
        <w:t>2015</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1440"/>
        <w:gridCol w:w="1620"/>
        <w:gridCol w:w="1170"/>
        <w:gridCol w:w="1260"/>
        <w:gridCol w:w="1350"/>
        <w:gridCol w:w="1800"/>
      </w:tblGrid>
      <w:tr w:rsidR="006A25F8" w:rsidRPr="00FF3F8D" w14:paraId="31E9090C" w14:textId="77777777" w:rsidTr="006A25F8">
        <w:tc>
          <w:tcPr>
            <w:tcW w:w="1548" w:type="dxa"/>
            <w:tcBorders>
              <w:bottom w:val="single" w:sz="4" w:space="0" w:color="auto"/>
            </w:tcBorders>
          </w:tcPr>
          <w:p w14:paraId="2996317E" w14:textId="77777777" w:rsidR="006A25F8" w:rsidRPr="00FF3F8D" w:rsidRDefault="006A25F8" w:rsidP="00391350">
            <w:pPr>
              <w:rPr>
                <w:rFonts w:cs="Arial"/>
                <w:szCs w:val="22"/>
              </w:rPr>
            </w:pPr>
          </w:p>
        </w:tc>
        <w:tc>
          <w:tcPr>
            <w:tcW w:w="1440" w:type="dxa"/>
            <w:tcBorders>
              <w:bottom w:val="single" w:sz="4" w:space="0" w:color="auto"/>
            </w:tcBorders>
          </w:tcPr>
          <w:p w14:paraId="01F577FC" w14:textId="77777777" w:rsidR="006A25F8" w:rsidRPr="00FF3F8D" w:rsidRDefault="006A25F8" w:rsidP="00391350">
            <w:pPr>
              <w:rPr>
                <w:rFonts w:cs="Arial"/>
                <w:b/>
              </w:rPr>
            </w:pPr>
            <w:r w:rsidRPr="00FF3F8D">
              <w:rPr>
                <w:rFonts w:cs="Arial"/>
                <w:b/>
              </w:rPr>
              <w:t xml:space="preserve">Beginning </w:t>
            </w:r>
          </w:p>
          <w:p w14:paraId="41089D6B" w14:textId="77777777" w:rsidR="006A25F8" w:rsidRPr="00FF3F8D" w:rsidRDefault="006A25F8" w:rsidP="00391350">
            <w:pPr>
              <w:rPr>
                <w:rFonts w:cs="Arial"/>
                <w:szCs w:val="22"/>
              </w:rPr>
            </w:pPr>
            <w:r w:rsidRPr="00FF3F8D">
              <w:rPr>
                <w:rFonts w:cs="Arial"/>
                <w:b/>
              </w:rPr>
              <w:t>Shares</w:t>
            </w:r>
          </w:p>
        </w:tc>
        <w:tc>
          <w:tcPr>
            <w:tcW w:w="1620" w:type="dxa"/>
            <w:tcBorders>
              <w:bottom w:val="single" w:sz="4" w:space="0" w:color="auto"/>
            </w:tcBorders>
          </w:tcPr>
          <w:p w14:paraId="028BE56C" w14:textId="77777777" w:rsidR="006A25F8" w:rsidRPr="00FF3F8D" w:rsidRDefault="006A25F8" w:rsidP="00391350">
            <w:pPr>
              <w:rPr>
                <w:rFonts w:cs="Arial"/>
                <w:b/>
              </w:rPr>
            </w:pPr>
            <w:r w:rsidRPr="00FF3F8D">
              <w:rPr>
                <w:rFonts w:cs="Arial"/>
                <w:b/>
              </w:rPr>
              <w:t>Adjustment</w:t>
            </w:r>
          </w:p>
          <w:p w14:paraId="4BED18A8" w14:textId="0259BC9B" w:rsidR="006A25F8" w:rsidRPr="00FF3F8D" w:rsidRDefault="00766353" w:rsidP="00391350">
            <w:pPr>
              <w:rPr>
                <w:rFonts w:cs="Arial"/>
                <w:b/>
              </w:rPr>
            </w:pPr>
            <w:r>
              <w:rPr>
                <w:rFonts w:cs="Arial"/>
                <w:b/>
              </w:rPr>
              <w:t>f</w:t>
            </w:r>
            <w:r w:rsidR="006A25F8" w:rsidRPr="00FF3F8D">
              <w:rPr>
                <w:rFonts w:cs="Arial"/>
                <w:b/>
              </w:rPr>
              <w:t>ollowing Share</w:t>
            </w:r>
          </w:p>
          <w:p w14:paraId="61D7B641" w14:textId="77777777" w:rsidR="006A25F8" w:rsidRPr="00FF3F8D" w:rsidRDefault="006A25F8" w:rsidP="00391350">
            <w:pPr>
              <w:rPr>
                <w:rFonts w:cs="Arial"/>
                <w:szCs w:val="22"/>
              </w:rPr>
            </w:pPr>
            <w:r w:rsidRPr="00FF3F8D">
              <w:rPr>
                <w:rFonts w:cs="Arial"/>
                <w:b/>
              </w:rPr>
              <w:t>Capital Consolidation</w:t>
            </w:r>
          </w:p>
        </w:tc>
        <w:tc>
          <w:tcPr>
            <w:tcW w:w="1170" w:type="dxa"/>
            <w:tcBorders>
              <w:bottom w:val="single" w:sz="4" w:space="0" w:color="auto"/>
            </w:tcBorders>
          </w:tcPr>
          <w:p w14:paraId="2B77C890" w14:textId="77777777" w:rsidR="006A25F8" w:rsidRPr="00FF3F8D" w:rsidRDefault="006A25F8" w:rsidP="00391350">
            <w:pPr>
              <w:rPr>
                <w:rFonts w:cs="Arial"/>
                <w:b/>
              </w:rPr>
            </w:pPr>
            <w:r w:rsidRPr="00FF3F8D">
              <w:rPr>
                <w:rFonts w:cs="Arial"/>
                <w:b/>
              </w:rPr>
              <w:t>Share</w:t>
            </w:r>
          </w:p>
          <w:p w14:paraId="2D55F3D6" w14:textId="4C15F06C" w:rsidR="006A25F8" w:rsidRPr="00FF3F8D" w:rsidRDefault="00FF3F8D" w:rsidP="00391350">
            <w:pPr>
              <w:rPr>
                <w:rFonts w:cs="Arial"/>
                <w:szCs w:val="22"/>
              </w:rPr>
            </w:pPr>
            <w:r w:rsidRPr="00FF3F8D">
              <w:rPr>
                <w:rFonts w:cs="Arial"/>
                <w:b/>
              </w:rPr>
              <w:t>Issuance</w:t>
            </w:r>
          </w:p>
        </w:tc>
        <w:tc>
          <w:tcPr>
            <w:tcW w:w="1260" w:type="dxa"/>
            <w:tcBorders>
              <w:bottom w:val="single" w:sz="4" w:space="0" w:color="auto"/>
            </w:tcBorders>
          </w:tcPr>
          <w:p w14:paraId="55782312" w14:textId="77777777" w:rsidR="006A25F8" w:rsidRPr="00FF3F8D" w:rsidRDefault="006A25F8" w:rsidP="00391350">
            <w:pPr>
              <w:rPr>
                <w:rFonts w:cs="Arial"/>
                <w:b/>
              </w:rPr>
            </w:pPr>
            <w:r w:rsidRPr="00FF3F8D">
              <w:rPr>
                <w:rFonts w:cs="Arial"/>
                <w:b/>
              </w:rPr>
              <w:t xml:space="preserve">Ending </w:t>
            </w:r>
          </w:p>
          <w:p w14:paraId="7CE64A91" w14:textId="77777777" w:rsidR="006A25F8" w:rsidRPr="00FF3F8D" w:rsidRDefault="006A25F8" w:rsidP="00391350">
            <w:pPr>
              <w:rPr>
                <w:rFonts w:cs="Arial"/>
                <w:szCs w:val="22"/>
              </w:rPr>
            </w:pPr>
            <w:r w:rsidRPr="00FF3F8D">
              <w:rPr>
                <w:rFonts w:cs="Arial"/>
                <w:b/>
              </w:rPr>
              <w:t>Shares</w:t>
            </w:r>
          </w:p>
        </w:tc>
        <w:tc>
          <w:tcPr>
            <w:tcW w:w="1350" w:type="dxa"/>
            <w:tcBorders>
              <w:bottom w:val="single" w:sz="4" w:space="0" w:color="auto"/>
            </w:tcBorders>
          </w:tcPr>
          <w:p w14:paraId="29C7A57F" w14:textId="77777777" w:rsidR="006A25F8" w:rsidRPr="00FF3F8D" w:rsidRDefault="006A25F8" w:rsidP="00391350">
            <w:pPr>
              <w:rPr>
                <w:rFonts w:cs="Arial"/>
                <w:b/>
              </w:rPr>
            </w:pPr>
            <w:r w:rsidRPr="00FF3F8D">
              <w:rPr>
                <w:rFonts w:cs="Arial"/>
                <w:b/>
              </w:rPr>
              <w:t>Ending</w:t>
            </w:r>
          </w:p>
          <w:p w14:paraId="6B24C6AF" w14:textId="77777777" w:rsidR="006A25F8" w:rsidRPr="00FF3F8D" w:rsidRDefault="006A25F8" w:rsidP="00391350">
            <w:pPr>
              <w:rPr>
                <w:rFonts w:cs="Arial"/>
                <w:b/>
              </w:rPr>
            </w:pPr>
            <w:r w:rsidRPr="00FF3F8D">
              <w:rPr>
                <w:rFonts w:cs="Arial"/>
                <w:b/>
              </w:rPr>
              <w:t>Net Assets</w:t>
            </w:r>
          </w:p>
        </w:tc>
        <w:tc>
          <w:tcPr>
            <w:tcW w:w="1800" w:type="dxa"/>
            <w:tcBorders>
              <w:bottom w:val="single" w:sz="4" w:space="0" w:color="auto"/>
            </w:tcBorders>
          </w:tcPr>
          <w:p w14:paraId="7CE727B3" w14:textId="77777777" w:rsidR="006A25F8" w:rsidRPr="00FF3F8D" w:rsidRDefault="006A25F8" w:rsidP="00391350">
            <w:pPr>
              <w:rPr>
                <w:rFonts w:cs="Arial"/>
                <w:b/>
                <w:u w:val="single"/>
              </w:rPr>
            </w:pPr>
            <w:r w:rsidRPr="00FF3F8D">
              <w:rPr>
                <w:rFonts w:cs="Arial"/>
                <w:b/>
              </w:rPr>
              <w:t>Ending NAV</w:t>
            </w:r>
          </w:p>
          <w:p w14:paraId="4AEAEF3E" w14:textId="77777777" w:rsidR="006A25F8" w:rsidRPr="00FF3F8D" w:rsidRDefault="006A25F8" w:rsidP="00391350">
            <w:pPr>
              <w:rPr>
                <w:rFonts w:cs="Arial"/>
                <w:b/>
                <w:u w:val="single"/>
              </w:rPr>
            </w:pPr>
            <w:r w:rsidRPr="00FF3F8D">
              <w:rPr>
                <w:rFonts w:cs="Arial"/>
                <w:b/>
              </w:rPr>
              <w:t xml:space="preserve">Per Share     </w:t>
            </w:r>
          </w:p>
        </w:tc>
      </w:tr>
      <w:tr w:rsidR="006A25F8" w:rsidRPr="00D25DF8" w14:paraId="6A496F8B" w14:textId="77777777" w:rsidTr="006A25F8">
        <w:tc>
          <w:tcPr>
            <w:tcW w:w="1548" w:type="dxa"/>
          </w:tcPr>
          <w:p w14:paraId="540CDDEF" w14:textId="77777777" w:rsidR="006A25F8" w:rsidRPr="00FF3F8D" w:rsidRDefault="006A25F8" w:rsidP="00391350">
            <w:pPr>
              <w:rPr>
                <w:rFonts w:cs="Arial"/>
                <w:sz w:val="18"/>
                <w:szCs w:val="18"/>
              </w:rPr>
            </w:pPr>
            <w:r w:rsidRPr="00FF3F8D">
              <w:rPr>
                <w:rFonts w:cs="Arial"/>
                <w:sz w:val="18"/>
                <w:szCs w:val="18"/>
              </w:rPr>
              <w:t xml:space="preserve">Class 1 -  </w:t>
            </w:r>
          </w:p>
          <w:p w14:paraId="0CAB0C18" w14:textId="77777777" w:rsidR="006A25F8" w:rsidRPr="00FF3F8D" w:rsidRDefault="006A25F8" w:rsidP="00391350">
            <w:pPr>
              <w:rPr>
                <w:rFonts w:cs="Arial"/>
                <w:sz w:val="18"/>
                <w:szCs w:val="18"/>
              </w:rPr>
            </w:pPr>
            <w:r w:rsidRPr="00FF3F8D">
              <w:rPr>
                <w:rFonts w:cs="Arial"/>
                <w:sz w:val="18"/>
                <w:szCs w:val="18"/>
              </w:rPr>
              <w:t>Ordinary Shares</w:t>
            </w:r>
          </w:p>
        </w:tc>
        <w:tc>
          <w:tcPr>
            <w:tcW w:w="1440" w:type="dxa"/>
          </w:tcPr>
          <w:p w14:paraId="18FBA846" w14:textId="77777777" w:rsidR="006A25F8" w:rsidRPr="00FF3F8D" w:rsidRDefault="006A25F8" w:rsidP="00391350">
            <w:pPr>
              <w:rPr>
                <w:rFonts w:cs="Arial"/>
                <w:sz w:val="18"/>
                <w:szCs w:val="18"/>
              </w:rPr>
            </w:pPr>
          </w:p>
          <w:p w14:paraId="097337B6" w14:textId="73BAD03A" w:rsidR="006A25F8" w:rsidRPr="00FF3F8D" w:rsidRDefault="006A25F8" w:rsidP="00FF3F8D">
            <w:pPr>
              <w:rPr>
                <w:rFonts w:cs="Arial"/>
                <w:sz w:val="18"/>
                <w:szCs w:val="18"/>
              </w:rPr>
            </w:pPr>
            <w:r w:rsidRPr="00FF3F8D">
              <w:rPr>
                <w:rFonts w:cs="Arial"/>
                <w:sz w:val="18"/>
                <w:szCs w:val="18"/>
              </w:rPr>
              <w:t xml:space="preserve"> </w:t>
            </w:r>
            <w:r w:rsidR="00FF3F8D" w:rsidRPr="00FF3F8D">
              <w:rPr>
                <w:rFonts w:cs="Arial"/>
                <w:sz w:val="18"/>
                <w:szCs w:val="18"/>
              </w:rPr>
              <w:t>303,582,970</w:t>
            </w:r>
          </w:p>
        </w:tc>
        <w:tc>
          <w:tcPr>
            <w:tcW w:w="1620" w:type="dxa"/>
          </w:tcPr>
          <w:p w14:paraId="242CF006" w14:textId="77777777" w:rsidR="006A25F8" w:rsidRPr="00FF3F8D" w:rsidRDefault="006A25F8" w:rsidP="00391350">
            <w:pPr>
              <w:rPr>
                <w:rFonts w:cs="Arial"/>
                <w:sz w:val="18"/>
                <w:szCs w:val="18"/>
              </w:rPr>
            </w:pPr>
          </w:p>
          <w:p w14:paraId="6B00E4C7" w14:textId="22315AFA" w:rsidR="006A25F8" w:rsidRPr="00FF3F8D" w:rsidRDefault="006A25F8" w:rsidP="00FF3F8D">
            <w:pPr>
              <w:rPr>
                <w:rFonts w:cs="Arial"/>
                <w:sz w:val="18"/>
                <w:szCs w:val="18"/>
              </w:rPr>
            </w:pPr>
            <w:r w:rsidRPr="00FF3F8D">
              <w:rPr>
                <w:rFonts w:cs="Arial"/>
                <w:sz w:val="18"/>
                <w:szCs w:val="18"/>
              </w:rPr>
              <w:t>(</w:t>
            </w:r>
            <w:r w:rsidR="00FF3F8D" w:rsidRPr="00FF3F8D">
              <w:rPr>
                <w:rFonts w:cs="Arial"/>
                <w:sz w:val="18"/>
                <w:szCs w:val="18"/>
              </w:rPr>
              <w:t>30,358,297</w:t>
            </w:r>
            <w:r w:rsidRPr="00FF3F8D">
              <w:rPr>
                <w:rFonts w:cs="Arial"/>
                <w:sz w:val="18"/>
                <w:szCs w:val="18"/>
              </w:rPr>
              <w:t>)</w:t>
            </w:r>
          </w:p>
        </w:tc>
        <w:tc>
          <w:tcPr>
            <w:tcW w:w="1170" w:type="dxa"/>
          </w:tcPr>
          <w:p w14:paraId="1C5594E4" w14:textId="77777777" w:rsidR="006A25F8" w:rsidRPr="00FF3F8D" w:rsidRDefault="006A25F8" w:rsidP="00A217D6">
            <w:pPr>
              <w:jc w:val="center"/>
              <w:rPr>
                <w:rFonts w:cs="Arial"/>
                <w:sz w:val="18"/>
                <w:szCs w:val="18"/>
              </w:rPr>
            </w:pPr>
          </w:p>
          <w:p w14:paraId="1A3DA634" w14:textId="5A04D1A6" w:rsidR="006A25F8" w:rsidRPr="00FF3F8D" w:rsidRDefault="00FF3F8D" w:rsidP="00A217D6">
            <w:pPr>
              <w:jc w:val="center"/>
              <w:rPr>
                <w:rFonts w:cs="Arial"/>
                <w:i/>
                <w:spacing w:val="-2"/>
                <w:sz w:val="18"/>
                <w:szCs w:val="18"/>
              </w:rPr>
            </w:pPr>
            <w:r w:rsidRPr="00FF3F8D">
              <w:rPr>
                <w:rFonts w:cs="Arial"/>
                <w:sz w:val="18"/>
                <w:szCs w:val="18"/>
              </w:rPr>
              <w:t>-</w:t>
            </w:r>
          </w:p>
        </w:tc>
        <w:tc>
          <w:tcPr>
            <w:tcW w:w="1260" w:type="dxa"/>
          </w:tcPr>
          <w:p w14:paraId="4A1DD548" w14:textId="77777777" w:rsidR="006A25F8" w:rsidRPr="00FF3F8D" w:rsidRDefault="006A25F8" w:rsidP="00391350">
            <w:pPr>
              <w:rPr>
                <w:rFonts w:cs="Arial"/>
                <w:sz w:val="18"/>
                <w:szCs w:val="18"/>
              </w:rPr>
            </w:pPr>
          </w:p>
          <w:p w14:paraId="758C146D" w14:textId="5EB62AA6" w:rsidR="006A25F8" w:rsidRPr="00FF3F8D" w:rsidRDefault="00FF3F8D" w:rsidP="00391350">
            <w:pPr>
              <w:rPr>
                <w:rFonts w:cs="Arial"/>
                <w:sz w:val="18"/>
                <w:szCs w:val="18"/>
              </w:rPr>
            </w:pPr>
            <w:r w:rsidRPr="00FF3F8D">
              <w:rPr>
                <w:rFonts w:cs="Arial"/>
                <w:sz w:val="18"/>
                <w:szCs w:val="18"/>
              </w:rPr>
              <w:t>273,224,673</w:t>
            </w:r>
          </w:p>
        </w:tc>
        <w:tc>
          <w:tcPr>
            <w:tcW w:w="1350" w:type="dxa"/>
          </w:tcPr>
          <w:p w14:paraId="19F8A1AC" w14:textId="77777777" w:rsidR="006A25F8" w:rsidRPr="00FF3F8D" w:rsidRDefault="006A25F8" w:rsidP="00391350">
            <w:pPr>
              <w:rPr>
                <w:rFonts w:cs="Arial"/>
                <w:sz w:val="18"/>
                <w:szCs w:val="18"/>
              </w:rPr>
            </w:pPr>
          </w:p>
          <w:p w14:paraId="725EF190" w14:textId="4B94A6B2" w:rsidR="006A25F8" w:rsidRPr="00FF3F8D" w:rsidRDefault="006A25F8" w:rsidP="00FF3F8D">
            <w:pPr>
              <w:rPr>
                <w:rFonts w:cs="Arial"/>
                <w:sz w:val="18"/>
                <w:szCs w:val="18"/>
              </w:rPr>
            </w:pPr>
            <w:r w:rsidRPr="00FF3F8D">
              <w:rPr>
                <w:rFonts w:cs="Arial"/>
                <w:sz w:val="18"/>
                <w:szCs w:val="18"/>
              </w:rPr>
              <w:t>$</w:t>
            </w:r>
            <w:r w:rsidR="00FF3F8D" w:rsidRPr="00FF3F8D">
              <w:rPr>
                <w:rFonts w:cs="Arial"/>
                <w:sz w:val="18"/>
                <w:szCs w:val="18"/>
              </w:rPr>
              <w:t>347,105,110</w:t>
            </w:r>
          </w:p>
        </w:tc>
        <w:tc>
          <w:tcPr>
            <w:tcW w:w="1800" w:type="dxa"/>
          </w:tcPr>
          <w:p w14:paraId="3F66165A" w14:textId="77777777" w:rsidR="006A25F8" w:rsidRPr="00FF3F8D" w:rsidRDefault="006A25F8" w:rsidP="00391350">
            <w:pPr>
              <w:rPr>
                <w:rFonts w:cs="Arial"/>
                <w:sz w:val="18"/>
                <w:szCs w:val="18"/>
              </w:rPr>
            </w:pPr>
          </w:p>
          <w:p w14:paraId="4A744A0B" w14:textId="49BD86D7" w:rsidR="006A25F8" w:rsidRPr="00FF3F8D" w:rsidRDefault="006A25F8" w:rsidP="00FF3F8D">
            <w:pPr>
              <w:rPr>
                <w:rFonts w:cs="Arial"/>
                <w:sz w:val="18"/>
                <w:szCs w:val="18"/>
              </w:rPr>
            </w:pPr>
            <w:r w:rsidRPr="00FF3F8D">
              <w:rPr>
                <w:rFonts w:cs="Arial"/>
                <w:sz w:val="18"/>
                <w:szCs w:val="18"/>
              </w:rPr>
              <w:t>$</w:t>
            </w:r>
            <w:r w:rsidR="00FF3F8D" w:rsidRPr="00FF3F8D">
              <w:rPr>
                <w:rFonts w:cs="Arial"/>
                <w:sz w:val="18"/>
                <w:szCs w:val="18"/>
              </w:rPr>
              <w:t>1.2705</w:t>
            </w:r>
          </w:p>
        </w:tc>
      </w:tr>
      <w:tr w:rsidR="00FF3F8D" w:rsidRPr="00D25DF8" w14:paraId="387A44A6" w14:textId="77777777" w:rsidTr="00FF3F8D">
        <w:tc>
          <w:tcPr>
            <w:tcW w:w="1548" w:type="dxa"/>
          </w:tcPr>
          <w:p w14:paraId="6CCFF6C7" w14:textId="45A87915" w:rsidR="00FF3F8D" w:rsidRPr="00FF3F8D" w:rsidRDefault="00FF3F8D" w:rsidP="00391350">
            <w:pPr>
              <w:rPr>
                <w:rFonts w:cs="Arial"/>
                <w:sz w:val="18"/>
                <w:szCs w:val="18"/>
              </w:rPr>
            </w:pPr>
            <w:r w:rsidRPr="00FF3F8D">
              <w:rPr>
                <w:rFonts w:cs="Arial"/>
                <w:sz w:val="18"/>
                <w:szCs w:val="18"/>
              </w:rPr>
              <w:t>Class C Shares</w:t>
            </w:r>
          </w:p>
        </w:tc>
        <w:tc>
          <w:tcPr>
            <w:tcW w:w="1440" w:type="dxa"/>
            <w:tcBorders>
              <w:bottom w:val="single" w:sz="4" w:space="0" w:color="auto"/>
            </w:tcBorders>
          </w:tcPr>
          <w:p w14:paraId="013B1094" w14:textId="6B3A003B" w:rsidR="00FF3F8D" w:rsidRPr="00FF3F8D" w:rsidRDefault="00FF3F8D" w:rsidP="00A217D6">
            <w:pPr>
              <w:jc w:val="center"/>
              <w:rPr>
                <w:rFonts w:cs="Arial"/>
                <w:i/>
                <w:spacing w:val="-2"/>
                <w:sz w:val="18"/>
                <w:szCs w:val="18"/>
              </w:rPr>
            </w:pPr>
            <w:r w:rsidRPr="00FF3F8D">
              <w:rPr>
                <w:rFonts w:cs="Arial"/>
                <w:sz w:val="18"/>
                <w:szCs w:val="18"/>
              </w:rPr>
              <w:t>-</w:t>
            </w:r>
          </w:p>
        </w:tc>
        <w:tc>
          <w:tcPr>
            <w:tcW w:w="1620" w:type="dxa"/>
            <w:tcBorders>
              <w:bottom w:val="single" w:sz="4" w:space="0" w:color="auto"/>
            </w:tcBorders>
          </w:tcPr>
          <w:p w14:paraId="51F7C0FA" w14:textId="2B27BCF7" w:rsidR="00FF3F8D" w:rsidRPr="00FF3F8D" w:rsidRDefault="00FF3F8D" w:rsidP="00A217D6">
            <w:pPr>
              <w:jc w:val="center"/>
              <w:rPr>
                <w:rFonts w:cs="Arial"/>
                <w:i/>
                <w:spacing w:val="-2"/>
                <w:sz w:val="18"/>
                <w:szCs w:val="18"/>
              </w:rPr>
            </w:pPr>
            <w:r w:rsidRPr="00FF3F8D">
              <w:rPr>
                <w:rFonts w:cs="Arial"/>
                <w:sz w:val="18"/>
                <w:szCs w:val="18"/>
              </w:rPr>
              <w:t>-</w:t>
            </w:r>
          </w:p>
        </w:tc>
        <w:tc>
          <w:tcPr>
            <w:tcW w:w="1170" w:type="dxa"/>
            <w:tcBorders>
              <w:bottom w:val="single" w:sz="4" w:space="0" w:color="auto"/>
            </w:tcBorders>
          </w:tcPr>
          <w:p w14:paraId="28B30E0A" w14:textId="0D8F036A" w:rsidR="00FF3F8D" w:rsidRPr="00FF3F8D" w:rsidRDefault="00FF3F8D" w:rsidP="00391350">
            <w:pPr>
              <w:rPr>
                <w:rFonts w:cs="Arial"/>
                <w:sz w:val="18"/>
                <w:szCs w:val="18"/>
              </w:rPr>
            </w:pPr>
            <w:r w:rsidRPr="00FF3F8D">
              <w:rPr>
                <w:rFonts w:cs="Arial"/>
                <w:sz w:val="18"/>
                <w:szCs w:val="18"/>
              </w:rPr>
              <w:t>91,835,018</w:t>
            </w:r>
          </w:p>
        </w:tc>
        <w:tc>
          <w:tcPr>
            <w:tcW w:w="1260" w:type="dxa"/>
            <w:tcBorders>
              <w:bottom w:val="single" w:sz="4" w:space="0" w:color="auto"/>
            </w:tcBorders>
          </w:tcPr>
          <w:p w14:paraId="782E650E" w14:textId="4282BC92" w:rsidR="00FF3F8D" w:rsidRPr="00FF3F8D" w:rsidRDefault="00FF3F8D" w:rsidP="00391350">
            <w:pPr>
              <w:rPr>
                <w:rFonts w:cs="Arial"/>
                <w:sz w:val="18"/>
                <w:szCs w:val="18"/>
              </w:rPr>
            </w:pPr>
            <w:r w:rsidRPr="00FF3F8D">
              <w:rPr>
                <w:rFonts w:cs="Arial"/>
                <w:sz w:val="18"/>
                <w:szCs w:val="18"/>
              </w:rPr>
              <w:t>91,835,018</w:t>
            </w:r>
          </w:p>
        </w:tc>
        <w:tc>
          <w:tcPr>
            <w:tcW w:w="1350" w:type="dxa"/>
            <w:tcBorders>
              <w:bottom w:val="single" w:sz="4" w:space="0" w:color="auto"/>
            </w:tcBorders>
          </w:tcPr>
          <w:p w14:paraId="26E7B89B" w14:textId="2C88F652" w:rsidR="00FF3F8D" w:rsidRPr="00FF3F8D" w:rsidRDefault="00FF3F8D" w:rsidP="00391350">
            <w:pPr>
              <w:rPr>
                <w:rFonts w:cs="Arial"/>
                <w:sz w:val="18"/>
                <w:szCs w:val="18"/>
              </w:rPr>
            </w:pPr>
            <w:r w:rsidRPr="00FF3F8D">
              <w:rPr>
                <w:rFonts w:cs="Arial"/>
                <w:sz w:val="18"/>
                <w:szCs w:val="18"/>
              </w:rPr>
              <w:t>$89,998,318</w:t>
            </w:r>
          </w:p>
        </w:tc>
        <w:tc>
          <w:tcPr>
            <w:tcW w:w="1800" w:type="dxa"/>
            <w:tcBorders>
              <w:bottom w:val="single" w:sz="4" w:space="0" w:color="auto"/>
            </w:tcBorders>
          </w:tcPr>
          <w:p w14:paraId="22A1E927" w14:textId="06EACCFC" w:rsidR="00FF3F8D" w:rsidRPr="00FF3F8D" w:rsidRDefault="00FF3F8D" w:rsidP="00391350">
            <w:pPr>
              <w:rPr>
                <w:rFonts w:cs="Arial"/>
                <w:sz w:val="18"/>
                <w:szCs w:val="18"/>
              </w:rPr>
            </w:pPr>
            <w:r w:rsidRPr="00FF3F8D">
              <w:rPr>
                <w:rFonts w:cs="Arial"/>
                <w:sz w:val="18"/>
                <w:szCs w:val="18"/>
              </w:rPr>
              <w:t>$0.9800</w:t>
            </w:r>
          </w:p>
        </w:tc>
      </w:tr>
      <w:tr w:rsidR="00FF3F8D" w:rsidRPr="00D25DF8" w14:paraId="11F3A97D" w14:textId="77777777" w:rsidTr="00FF3F8D">
        <w:tc>
          <w:tcPr>
            <w:tcW w:w="1548" w:type="dxa"/>
          </w:tcPr>
          <w:p w14:paraId="0FE67BFC" w14:textId="77777777" w:rsidR="00FF3F8D" w:rsidRPr="00FF3F8D" w:rsidRDefault="00FF3F8D" w:rsidP="00391350">
            <w:pPr>
              <w:rPr>
                <w:rFonts w:cs="Arial"/>
                <w:sz w:val="18"/>
                <w:szCs w:val="18"/>
              </w:rPr>
            </w:pPr>
          </w:p>
        </w:tc>
        <w:tc>
          <w:tcPr>
            <w:tcW w:w="1440" w:type="dxa"/>
            <w:tcBorders>
              <w:top w:val="single" w:sz="4" w:space="0" w:color="auto"/>
            </w:tcBorders>
          </w:tcPr>
          <w:p w14:paraId="182F2B1F" w14:textId="77777777" w:rsidR="00FF3F8D" w:rsidRPr="00FF3F8D" w:rsidRDefault="00FF3F8D" w:rsidP="00391350">
            <w:pPr>
              <w:rPr>
                <w:rFonts w:cs="Arial"/>
                <w:sz w:val="18"/>
                <w:szCs w:val="18"/>
              </w:rPr>
            </w:pPr>
          </w:p>
        </w:tc>
        <w:tc>
          <w:tcPr>
            <w:tcW w:w="1620" w:type="dxa"/>
            <w:tcBorders>
              <w:top w:val="single" w:sz="4" w:space="0" w:color="auto"/>
            </w:tcBorders>
          </w:tcPr>
          <w:p w14:paraId="6495FD0E" w14:textId="77777777" w:rsidR="00FF3F8D" w:rsidRPr="00FF3F8D" w:rsidRDefault="00FF3F8D" w:rsidP="00391350">
            <w:pPr>
              <w:rPr>
                <w:rFonts w:cs="Arial"/>
                <w:sz w:val="18"/>
                <w:szCs w:val="18"/>
              </w:rPr>
            </w:pPr>
          </w:p>
        </w:tc>
        <w:tc>
          <w:tcPr>
            <w:tcW w:w="1170" w:type="dxa"/>
            <w:tcBorders>
              <w:top w:val="single" w:sz="4" w:space="0" w:color="auto"/>
            </w:tcBorders>
          </w:tcPr>
          <w:p w14:paraId="6919F626" w14:textId="77777777" w:rsidR="00FF3F8D" w:rsidRPr="00FF3F8D" w:rsidRDefault="00FF3F8D" w:rsidP="00391350">
            <w:pPr>
              <w:rPr>
                <w:rFonts w:cs="Arial"/>
                <w:sz w:val="18"/>
                <w:szCs w:val="18"/>
              </w:rPr>
            </w:pPr>
          </w:p>
        </w:tc>
        <w:tc>
          <w:tcPr>
            <w:tcW w:w="1260" w:type="dxa"/>
            <w:tcBorders>
              <w:top w:val="single" w:sz="4" w:space="0" w:color="auto"/>
            </w:tcBorders>
          </w:tcPr>
          <w:p w14:paraId="2404F782" w14:textId="77777777" w:rsidR="00FF3F8D" w:rsidRPr="00FF3F8D" w:rsidRDefault="00FF3F8D" w:rsidP="00391350">
            <w:pPr>
              <w:rPr>
                <w:rFonts w:cs="Arial"/>
                <w:sz w:val="18"/>
                <w:szCs w:val="18"/>
              </w:rPr>
            </w:pPr>
          </w:p>
        </w:tc>
        <w:tc>
          <w:tcPr>
            <w:tcW w:w="1350" w:type="dxa"/>
            <w:tcBorders>
              <w:top w:val="single" w:sz="4" w:space="0" w:color="auto"/>
            </w:tcBorders>
          </w:tcPr>
          <w:p w14:paraId="6D97F8AF" w14:textId="4BB9D47C" w:rsidR="00FF3F8D" w:rsidRPr="00FF3F8D" w:rsidRDefault="00FF3F8D" w:rsidP="00391350">
            <w:pPr>
              <w:rPr>
                <w:rFonts w:cs="Arial"/>
                <w:sz w:val="18"/>
                <w:szCs w:val="18"/>
              </w:rPr>
            </w:pPr>
            <w:r w:rsidRPr="00FF3F8D">
              <w:rPr>
                <w:rFonts w:cs="Arial"/>
                <w:sz w:val="18"/>
                <w:szCs w:val="18"/>
              </w:rPr>
              <w:t>$437,103,428</w:t>
            </w:r>
          </w:p>
        </w:tc>
        <w:tc>
          <w:tcPr>
            <w:tcW w:w="1800" w:type="dxa"/>
            <w:tcBorders>
              <w:top w:val="single" w:sz="4" w:space="0" w:color="auto"/>
            </w:tcBorders>
          </w:tcPr>
          <w:p w14:paraId="7A2C5632" w14:textId="77777777" w:rsidR="00FF3F8D" w:rsidRPr="00FF3F8D" w:rsidRDefault="00FF3F8D" w:rsidP="00391350">
            <w:pPr>
              <w:rPr>
                <w:rFonts w:cs="Arial"/>
                <w:sz w:val="18"/>
                <w:szCs w:val="18"/>
              </w:rPr>
            </w:pPr>
          </w:p>
        </w:tc>
      </w:tr>
    </w:tbl>
    <w:p w14:paraId="1E4928C0" w14:textId="77777777" w:rsidR="00BF79DB" w:rsidRPr="00D25DF8" w:rsidRDefault="00BF79DB" w:rsidP="00391350">
      <w:pPr>
        <w:tabs>
          <w:tab w:val="left" w:pos="3330"/>
          <w:tab w:val="left" w:pos="4140"/>
          <w:tab w:val="left" w:pos="4770"/>
          <w:tab w:val="left" w:pos="7470"/>
        </w:tabs>
        <w:rPr>
          <w:color w:val="FF0000"/>
          <w:sz w:val="20"/>
        </w:rPr>
      </w:pPr>
    </w:p>
    <w:p w14:paraId="77AD0DE3" w14:textId="77777777" w:rsidR="00BF79DB" w:rsidRPr="00D25DF8" w:rsidRDefault="00BF79DB" w:rsidP="00391350">
      <w:pPr>
        <w:tabs>
          <w:tab w:val="left" w:pos="3330"/>
          <w:tab w:val="left" w:pos="4140"/>
          <w:tab w:val="left" w:pos="4770"/>
          <w:tab w:val="left" w:pos="7470"/>
        </w:tabs>
        <w:rPr>
          <w:rFonts w:cs="Arial"/>
          <w:color w:val="FF0000"/>
          <w:sz w:val="20"/>
        </w:rPr>
      </w:pPr>
    </w:p>
    <w:p w14:paraId="44FAA9E3" w14:textId="2A8106D9" w:rsidR="003772DB" w:rsidRPr="00FF3F8D" w:rsidRDefault="00FF3F8D" w:rsidP="00D5060B">
      <w:pPr>
        <w:widowControl w:val="0"/>
        <w:autoSpaceDE w:val="0"/>
        <w:autoSpaceDN w:val="0"/>
        <w:adjustRightInd w:val="0"/>
        <w:spacing w:after="240"/>
        <w:rPr>
          <w:rFonts w:cs="Arial"/>
          <w:i/>
          <w:szCs w:val="22"/>
        </w:rPr>
      </w:pPr>
      <w:r w:rsidRPr="00FF3F8D">
        <w:rPr>
          <w:rFonts w:cs="Arial"/>
          <w:i/>
          <w:szCs w:val="22"/>
        </w:rPr>
        <w:t>31 December 2014</w:t>
      </w:r>
    </w:p>
    <w:tbl>
      <w:tblPr>
        <w:tblStyle w:val="TableGrid"/>
        <w:tblW w:w="10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1440"/>
        <w:gridCol w:w="1656"/>
        <w:gridCol w:w="1260"/>
        <w:gridCol w:w="1260"/>
        <w:gridCol w:w="1383"/>
        <w:gridCol w:w="1904"/>
      </w:tblGrid>
      <w:tr w:rsidR="006A25F8" w:rsidRPr="00FF3F8D" w14:paraId="0C756FC4" w14:textId="77777777" w:rsidTr="00FF3F8D">
        <w:tc>
          <w:tcPr>
            <w:tcW w:w="1548" w:type="dxa"/>
            <w:tcBorders>
              <w:bottom w:val="single" w:sz="4" w:space="0" w:color="auto"/>
            </w:tcBorders>
          </w:tcPr>
          <w:p w14:paraId="5F543D02" w14:textId="77777777" w:rsidR="006A25F8" w:rsidRPr="00FF3F8D" w:rsidRDefault="006A25F8" w:rsidP="00391350">
            <w:pPr>
              <w:rPr>
                <w:rFonts w:cs="Arial"/>
                <w:szCs w:val="22"/>
              </w:rPr>
            </w:pPr>
          </w:p>
        </w:tc>
        <w:tc>
          <w:tcPr>
            <w:tcW w:w="1440" w:type="dxa"/>
            <w:tcBorders>
              <w:bottom w:val="single" w:sz="4" w:space="0" w:color="auto"/>
            </w:tcBorders>
          </w:tcPr>
          <w:p w14:paraId="3DB563DF" w14:textId="77777777" w:rsidR="006A25F8" w:rsidRPr="00FF3F8D" w:rsidRDefault="006A25F8" w:rsidP="00391350">
            <w:pPr>
              <w:rPr>
                <w:rFonts w:cs="Arial"/>
                <w:b/>
              </w:rPr>
            </w:pPr>
            <w:r w:rsidRPr="00FF3F8D">
              <w:rPr>
                <w:rFonts w:cs="Arial"/>
                <w:b/>
              </w:rPr>
              <w:t xml:space="preserve">Beginning </w:t>
            </w:r>
          </w:p>
          <w:p w14:paraId="72C53C4C" w14:textId="77777777" w:rsidR="006A25F8" w:rsidRPr="00FF3F8D" w:rsidRDefault="006A25F8" w:rsidP="00391350">
            <w:pPr>
              <w:rPr>
                <w:rFonts w:cs="Arial"/>
                <w:szCs w:val="22"/>
              </w:rPr>
            </w:pPr>
            <w:r w:rsidRPr="00FF3F8D">
              <w:rPr>
                <w:rFonts w:cs="Arial"/>
                <w:b/>
              </w:rPr>
              <w:t>Shares</w:t>
            </w:r>
          </w:p>
        </w:tc>
        <w:tc>
          <w:tcPr>
            <w:tcW w:w="1656" w:type="dxa"/>
            <w:tcBorders>
              <w:bottom w:val="single" w:sz="4" w:space="0" w:color="auto"/>
            </w:tcBorders>
          </w:tcPr>
          <w:p w14:paraId="40EEF6B8" w14:textId="77777777" w:rsidR="00FF3F8D" w:rsidRPr="00FF3F8D" w:rsidRDefault="00FF3F8D" w:rsidP="00FF3F8D">
            <w:pPr>
              <w:rPr>
                <w:rFonts w:cs="Arial"/>
                <w:b/>
              </w:rPr>
            </w:pPr>
            <w:r w:rsidRPr="00FF3F8D">
              <w:rPr>
                <w:rFonts w:cs="Arial"/>
                <w:b/>
              </w:rPr>
              <w:t>Adjustment</w:t>
            </w:r>
          </w:p>
          <w:p w14:paraId="2A7BBBA0" w14:textId="47A528ED" w:rsidR="00FF3F8D" w:rsidRPr="00FF3F8D" w:rsidRDefault="00766353" w:rsidP="00FF3F8D">
            <w:pPr>
              <w:rPr>
                <w:rFonts w:cs="Arial"/>
                <w:b/>
              </w:rPr>
            </w:pPr>
            <w:r>
              <w:rPr>
                <w:rFonts w:cs="Arial"/>
                <w:b/>
              </w:rPr>
              <w:t>f</w:t>
            </w:r>
            <w:r w:rsidR="00FF3F8D" w:rsidRPr="00FF3F8D">
              <w:rPr>
                <w:rFonts w:cs="Arial"/>
                <w:b/>
              </w:rPr>
              <w:t>ollowing Share</w:t>
            </w:r>
          </w:p>
          <w:p w14:paraId="0F2CF863" w14:textId="67D9A73D" w:rsidR="006A25F8" w:rsidRPr="00FF3F8D" w:rsidRDefault="00FF3F8D" w:rsidP="00FF3F8D">
            <w:pPr>
              <w:rPr>
                <w:rFonts w:cs="Arial"/>
                <w:szCs w:val="22"/>
              </w:rPr>
            </w:pPr>
            <w:r w:rsidRPr="00FF3F8D">
              <w:rPr>
                <w:rFonts w:cs="Arial"/>
                <w:b/>
              </w:rPr>
              <w:t>Capital Consolidation</w:t>
            </w:r>
          </w:p>
        </w:tc>
        <w:tc>
          <w:tcPr>
            <w:tcW w:w="1260" w:type="dxa"/>
            <w:tcBorders>
              <w:bottom w:val="single" w:sz="4" w:space="0" w:color="auto"/>
            </w:tcBorders>
          </w:tcPr>
          <w:p w14:paraId="4B419813" w14:textId="261FE2CB" w:rsidR="006A25F8" w:rsidRPr="00FF3F8D" w:rsidRDefault="006A25F8" w:rsidP="00391350">
            <w:pPr>
              <w:rPr>
                <w:rFonts w:cs="Arial"/>
                <w:b/>
              </w:rPr>
            </w:pPr>
            <w:r w:rsidRPr="00FF3F8D">
              <w:rPr>
                <w:rFonts w:cs="Arial"/>
                <w:b/>
              </w:rPr>
              <w:t>Share</w:t>
            </w:r>
          </w:p>
          <w:p w14:paraId="2E73EDE4" w14:textId="7744E4DB" w:rsidR="006A25F8" w:rsidRPr="00FF3F8D" w:rsidRDefault="00FF3F8D" w:rsidP="00391350">
            <w:pPr>
              <w:rPr>
                <w:rFonts w:cs="Arial"/>
                <w:szCs w:val="22"/>
              </w:rPr>
            </w:pPr>
            <w:r w:rsidRPr="00FF3F8D">
              <w:rPr>
                <w:rFonts w:cs="Arial"/>
                <w:b/>
              </w:rPr>
              <w:t>Buyback</w:t>
            </w:r>
          </w:p>
        </w:tc>
        <w:tc>
          <w:tcPr>
            <w:tcW w:w="1260" w:type="dxa"/>
            <w:tcBorders>
              <w:bottom w:val="single" w:sz="4" w:space="0" w:color="auto"/>
            </w:tcBorders>
          </w:tcPr>
          <w:p w14:paraId="307A0744" w14:textId="77777777" w:rsidR="006A25F8" w:rsidRPr="00FF3F8D" w:rsidRDefault="006A25F8" w:rsidP="00391350">
            <w:pPr>
              <w:rPr>
                <w:rFonts w:cs="Arial"/>
                <w:b/>
              </w:rPr>
            </w:pPr>
            <w:r w:rsidRPr="00FF3F8D">
              <w:rPr>
                <w:rFonts w:cs="Arial"/>
                <w:b/>
              </w:rPr>
              <w:t xml:space="preserve">Ending </w:t>
            </w:r>
          </w:p>
          <w:p w14:paraId="54758176" w14:textId="77777777" w:rsidR="006A25F8" w:rsidRPr="00FF3F8D" w:rsidRDefault="006A25F8" w:rsidP="00391350">
            <w:pPr>
              <w:rPr>
                <w:rFonts w:cs="Arial"/>
                <w:szCs w:val="22"/>
              </w:rPr>
            </w:pPr>
            <w:r w:rsidRPr="00FF3F8D">
              <w:rPr>
                <w:rFonts w:cs="Arial"/>
                <w:b/>
              </w:rPr>
              <w:t>Shares</w:t>
            </w:r>
          </w:p>
        </w:tc>
        <w:tc>
          <w:tcPr>
            <w:tcW w:w="1383" w:type="dxa"/>
            <w:tcBorders>
              <w:bottom w:val="single" w:sz="4" w:space="0" w:color="auto"/>
            </w:tcBorders>
          </w:tcPr>
          <w:p w14:paraId="3AF469D4" w14:textId="77777777" w:rsidR="006A25F8" w:rsidRPr="00FF3F8D" w:rsidRDefault="006A25F8" w:rsidP="00391350">
            <w:pPr>
              <w:rPr>
                <w:rFonts w:cs="Arial"/>
                <w:b/>
                <w:u w:val="single"/>
              </w:rPr>
            </w:pPr>
            <w:r w:rsidRPr="00FF3F8D">
              <w:rPr>
                <w:rFonts w:cs="Arial"/>
                <w:b/>
              </w:rPr>
              <w:t>Ending</w:t>
            </w:r>
          </w:p>
          <w:p w14:paraId="4D8CBB50" w14:textId="77777777" w:rsidR="006A25F8" w:rsidRPr="00FF3F8D" w:rsidRDefault="006A25F8" w:rsidP="00391350">
            <w:pPr>
              <w:rPr>
                <w:rFonts w:cs="Arial"/>
                <w:b/>
                <w:u w:val="single"/>
              </w:rPr>
            </w:pPr>
            <w:r w:rsidRPr="00FF3F8D">
              <w:rPr>
                <w:rFonts w:cs="Arial"/>
                <w:b/>
              </w:rPr>
              <w:t xml:space="preserve">Net Assets     </w:t>
            </w:r>
          </w:p>
        </w:tc>
        <w:tc>
          <w:tcPr>
            <w:tcW w:w="1904" w:type="dxa"/>
            <w:tcBorders>
              <w:bottom w:val="single" w:sz="4" w:space="0" w:color="auto"/>
            </w:tcBorders>
          </w:tcPr>
          <w:p w14:paraId="2AFAC8FA" w14:textId="77777777" w:rsidR="006A25F8" w:rsidRPr="00FF3F8D" w:rsidRDefault="006A25F8" w:rsidP="00391350">
            <w:pPr>
              <w:rPr>
                <w:rFonts w:cs="Arial"/>
                <w:b/>
                <w:u w:val="single"/>
              </w:rPr>
            </w:pPr>
            <w:r w:rsidRPr="00FF3F8D">
              <w:rPr>
                <w:rFonts w:cs="Arial"/>
                <w:b/>
              </w:rPr>
              <w:t>Ending NAV</w:t>
            </w:r>
          </w:p>
          <w:p w14:paraId="71FCDB49" w14:textId="304C564C" w:rsidR="006A25F8" w:rsidRPr="00FF3F8D" w:rsidRDefault="006A25F8" w:rsidP="00391350">
            <w:pPr>
              <w:rPr>
                <w:rFonts w:cs="Arial"/>
                <w:b/>
              </w:rPr>
            </w:pPr>
            <w:r w:rsidRPr="00FF3F8D">
              <w:rPr>
                <w:rFonts w:cs="Arial"/>
                <w:b/>
              </w:rPr>
              <w:t>Per Share</w:t>
            </w:r>
          </w:p>
        </w:tc>
      </w:tr>
      <w:tr w:rsidR="00F02C4C" w:rsidRPr="00D25DF8" w14:paraId="17116D21" w14:textId="77777777" w:rsidTr="00FF3F8D">
        <w:tc>
          <w:tcPr>
            <w:tcW w:w="1548" w:type="dxa"/>
            <w:tcBorders>
              <w:top w:val="single" w:sz="4" w:space="0" w:color="auto"/>
            </w:tcBorders>
            <w:vAlign w:val="bottom"/>
          </w:tcPr>
          <w:p w14:paraId="75476318" w14:textId="4B645DF9" w:rsidR="00F02C4C" w:rsidRPr="00FF3F8D" w:rsidRDefault="00F02C4C" w:rsidP="00391350">
            <w:pPr>
              <w:rPr>
                <w:rFonts w:cs="Arial"/>
                <w:sz w:val="18"/>
                <w:szCs w:val="18"/>
              </w:rPr>
            </w:pPr>
            <w:r>
              <w:rPr>
                <w:rFonts w:cs="Arial"/>
                <w:sz w:val="18"/>
                <w:szCs w:val="18"/>
              </w:rPr>
              <w:t>Class 1 – Ordinary Shares</w:t>
            </w:r>
          </w:p>
        </w:tc>
        <w:tc>
          <w:tcPr>
            <w:tcW w:w="1440" w:type="dxa"/>
            <w:tcBorders>
              <w:top w:val="single" w:sz="4" w:space="0" w:color="auto"/>
            </w:tcBorders>
            <w:vAlign w:val="bottom"/>
          </w:tcPr>
          <w:p w14:paraId="4EB17BEA" w14:textId="690FE428" w:rsidR="00F02C4C" w:rsidRPr="00FF3F8D" w:rsidRDefault="00F02C4C" w:rsidP="00391350">
            <w:pPr>
              <w:rPr>
                <w:rFonts w:cs="Arial"/>
                <w:sz w:val="18"/>
                <w:szCs w:val="18"/>
              </w:rPr>
            </w:pPr>
            <w:r w:rsidRPr="00FF3F8D">
              <w:rPr>
                <w:rFonts w:cs="Arial"/>
                <w:sz w:val="18"/>
                <w:szCs w:val="18"/>
              </w:rPr>
              <w:t>369,849,337</w:t>
            </w:r>
          </w:p>
        </w:tc>
        <w:tc>
          <w:tcPr>
            <w:tcW w:w="1656" w:type="dxa"/>
            <w:tcBorders>
              <w:top w:val="single" w:sz="4" w:space="0" w:color="auto"/>
            </w:tcBorders>
            <w:vAlign w:val="bottom"/>
          </w:tcPr>
          <w:p w14:paraId="09EBA4F1" w14:textId="21B0CF5D" w:rsidR="00F02C4C" w:rsidRPr="00FF3F8D" w:rsidRDefault="00F02C4C" w:rsidP="00391350">
            <w:pPr>
              <w:rPr>
                <w:rFonts w:cs="Arial"/>
                <w:sz w:val="18"/>
                <w:szCs w:val="18"/>
              </w:rPr>
            </w:pPr>
            <w:r w:rsidRPr="00FF3F8D">
              <w:rPr>
                <w:rFonts w:cs="Arial"/>
                <w:sz w:val="18"/>
                <w:szCs w:val="18"/>
              </w:rPr>
              <w:t>(60,566,367)</w:t>
            </w:r>
          </w:p>
        </w:tc>
        <w:tc>
          <w:tcPr>
            <w:tcW w:w="1260" w:type="dxa"/>
            <w:tcBorders>
              <w:top w:val="single" w:sz="4" w:space="0" w:color="auto"/>
            </w:tcBorders>
            <w:vAlign w:val="bottom"/>
          </w:tcPr>
          <w:p w14:paraId="3023585D" w14:textId="170FEDCB" w:rsidR="00F02C4C" w:rsidRPr="00FF3F8D" w:rsidRDefault="00F02C4C" w:rsidP="00391350">
            <w:pPr>
              <w:rPr>
                <w:rFonts w:cs="Arial"/>
                <w:sz w:val="18"/>
                <w:szCs w:val="18"/>
              </w:rPr>
            </w:pPr>
            <w:r w:rsidRPr="00FF3F8D">
              <w:rPr>
                <w:rFonts w:cs="Arial"/>
                <w:sz w:val="18"/>
                <w:szCs w:val="18"/>
              </w:rPr>
              <w:t>(5,700,000)</w:t>
            </w:r>
          </w:p>
        </w:tc>
        <w:tc>
          <w:tcPr>
            <w:tcW w:w="1260" w:type="dxa"/>
            <w:tcBorders>
              <w:top w:val="single" w:sz="4" w:space="0" w:color="auto"/>
            </w:tcBorders>
            <w:vAlign w:val="bottom"/>
          </w:tcPr>
          <w:p w14:paraId="5701C512" w14:textId="59223167" w:rsidR="00F02C4C" w:rsidRPr="00FF3F8D" w:rsidRDefault="00F02C4C" w:rsidP="00391350">
            <w:pPr>
              <w:rPr>
                <w:rFonts w:cs="Arial"/>
                <w:sz w:val="18"/>
                <w:szCs w:val="18"/>
              </w:rPr>
            </w:pPr>
            <w:r w:rsidRPr="00FF3F8D">
              <w:rPr>
                <w:rFonts w:cs="Arial"/>
                <w:sz w:val="18"/>
                <w:szCs w:val="18"/>
              </w:rPr>
              <w:t>303,582,970</w:t>
            </w:r>
          </w:p>
        </w:tc>
        <w:tc>
          <w:tcPr>
            <w:tcW w:w="1383" w:type="dxa"/>
            <w:tcBorders>
              <w:top w:val="single" w:sz="4" w:space="0" w:color="auto"/>
            </w:tcBorders>
            <w:vAlign w:val="bottom"/>
          </w:tcPr>
          <w:p w14:paraId="79F222D8" w14:textId="0FCE2027" w:rsidR="00F02C4C" w:rsidRPr="00FF3F8D" w:rsidRDefault="00F02C4C" w:rsidP="00391350">
            <w:pPr>
              <w:rPr>
                <w:rFonts w:cs="Arial"/>
                <w:sz w:val="18"/>
                <w:szCs w:val="18"/>
              </w:rPr>
            </w:pPr>
            <w:r w:rsidRPr="00FF3F8D">
              <w:rPr>
                <w:rFonts w:cs="Arial"/>
                <w:sz w:val="18"/>
                <w:szCs w:val="18"/>
              </w:rPr>
              <w:t>$363,725,627</w:t>
            </w:r>
          </w:p>
        </w:tc>
        <w:tc>
          <w:tcPr>
            <w:tcW w:w="1904" w:type="dxa"/>
            <w:tcBorders>
              <w:top w:val="single" w:sz="4" w:space="0" w:color="auto"/>
            </w:tcBorders>
          </w:tcPr>
          <w:p w14:paraId="71B42293" w14:textId="77777777" w:rsidR="00F02C4C" w:rsidRPr="00FF3F8D" w:rsidRDefault="00F02C4C" w:rsidP="00390A6D">
            <w:pPr>
              <w:rPr>
                <w:rFonts w:cs="Arial"/>
                <w:sz w:val="18"/>
                <w:szCs w:val="18"/>
              </w:rPr>
            </w:pPr>
          </w:p>
          <w:p w14:paraId="592FBA78" w14:textId="269F5A43" w:rsidR="00F02C4C" w:rsidRPr="00FF3F8D" w:rsidRDefault="00F02C4C" w:rsidP="00391350">
            <w:pPr>
              <w:rPr>
                <w:rFonts w:cs="Arial"/>
                <w:sz w:val="18"/>
                <w:szCs w:val="18"/>
              </w:rPr>
            </w:pPr>
            <w:r w:rsidRPr="00FF3F8D">
              <w:rPr>
                <w:rFonts w:cs="Arial"/>
                <w:sz w:val="18"/>
                <w:szCs w:val="18"/>
              </w:rPr>
              <w:t>$1.1981</w:t>
            </w:r>
          </w:p>
        </w:tc>
      </w:tr>
      <w:tr w:rsidR="00F02C4C" w:rsidRPr="00D25DF8" w14:paraId="3FE7D35C" w14:textId="77777777" w:rsidTr="00A217D6">
        <w:trPr>
          <w:trHeight w:val="155"/>
        </w:trPr>
        <w:tc>
          <w:tcPr>
            <w:tcW w:w="1548" w:type="dxa"/>
            <w:tcBorders>
              <w:top w:val="single" w:sz="4" w:space="0" w:color="auto"/>
            </w:tcBorders>
            <w:vAlign w:val="bottom"/>
          </w:tcPr>
          <w:p w14:paraId="04D80F29" w14:textId="792C0D34" w:rsidR="00F02C4C" w:rsidRPr="00FF3F8D" w:rsidRDefault="00F02C4C" w:rsidP="00391350">
            <w:pPr>
              <w:rPr>
                <w:rFonts w:cs="Arial"/>
                <w:sz w:val="18"/>
                <w:szCs w:val="18"/>
              </w:rPr>
            </w:pPr>
          </w:p>
        </w:tc>
        <w:tc>
          <w:tcPr>
            <w:tcW w:w="1440" w:type="dxa"/>
            <w:tcBorders>
              <w:top w:val="single" w:sz="4" w:space="0" w:color="auto"/>
            </w:tcBorders>
            <w:vAlign w:val="bottom"/>
          </w:tcPr>
          <w:p w14:paraId="6FCA5ACE" w14:textId="2A037077" w:rsidR="00F02C4C" w:rsidRPr="00FF3F8D" w:rsidRDefault="00F02C4C" w:rsidP="00391350">
            <w:pPr>
              <w:rPr>
                <w:rFonts w:cs="Arial"/>
                <w:sz w:val="18"/>
                <w:szCs w:val="18"/>
              </w:rPr>
            </w:pPr>
          </w:p>
        </w:tc>
        <w:tc>
          <w:tcPr>
            <w:tcW w:w="1656" w:type="dxa"/>
            <w:tcBorders>
              <w:top w:val="single" w:sz="4" w:space="0" w:color="auto"/>
            </w:tcBorders>
            <w:vAlign w:val="bottom"/>
          </w:tcPr>
          <w:p w14:paraId="410A728B" w14:textId="60FE4059" w:rsidR="00F02C4C" w:rsidRPr="00FF3F8D" w:rsidRDefault="00F02C4C" w:rsidP="00391350">
            <w:pPr>
              <w:rPr>
                <w:rFonts w:cs="Arial"/>
                <w:sz w:val="18"/>
                <w:szCs w:val="18"/>
              </w:rPr>
            </w:pPr>
          </w:p>
        </w:tc>
        <w:tc>
          <w:tcPr>
            <w:tcW w:w="1260" w:type="dxa"/>
            <w:tcBorders>
              <w:top w:val="single" w:sz="4" w:space="0" w:color="auto"/>
            </w:tcBorders>
            <w:vAlign w:val="bottom"/>
          </w:tcPr>
          <w:p w14:paraId="48D912F1" w14:textId="14F77C3D" w:rsidR="00F02C4C" w:rsidRPr="00FF3F8D" w:rsidRDefault="00F02C4C" w:rsidP="00391350">
            <w:pPr>
              <w:rPr>
                <w:rFonts w:cs="Arial"/>
                <w:sz w:val="18"/>
                <w:szCs w:val="18"/>
              </w:rPr>
            </w:pPr>
          </w:p>
        </w:tc>
        <w:tc>
          <w:tcPr>
            <w:tcW w:w="1260" w:type="dxa"/>
            <w:tcBorders>
              <w:top w:val="single" w:sz="4" w:space="0" w:color="auto"/>
            </w:tcBorders>
            <w:vAlign w:val="bottom"/>
          </w:tcPr>
          <w:p w14:paraId="4AB8763A" w14:textId="7565E4D5" w:rsidR="00F02C4C" w:rsidRPr="00FF3F8D" w:rsidRDefault="00F02C4C" w:rsidP="00391350">
            <w:pPr>
              <w:rPr>
                <w:rFonts w:cs="Arial"/>
                <w:sz w:val="18"/>
                <w:szCs w:val="18"/>
              </w:rPr>
            </w:pPr>
          </w:p>
        </w:tc>
        <w:tc>
          <w:tcPr>
            <w:tcW w:w="1383" w:type="dxa"/>
            <w:tcBorders>
              <w:top w:val="single" w:sz="4" w:space="0" w:color="auto"/>
            </w:tcBorders>
            <w:vAlign w:val="bottom"/>
          </w:tcPr>
          <w:p w14:paraId="219C5E46" w14:textId="6108B3D1" w:rsidR="00F02C4C" w:rsidRPr="00FF3F8D" w:rsidRDefault="00F02C4C" w:rsidP="00391350">
            <w:pPr>
              <w:rPr>
                <w:rFonts w:cs="Arial"/>
                <w:sz w:val="18"/>
                <w:szCs w:val="18"/>
              </w:rPr>
            </w:pPr>
          </w:p>
        </w:tc>
        <w:tc>
          <w:tcPr>
            <w:tcW w:w="1904" w:type="dxa"/>
            <w:tcBorders>
              <w:top w:val="single" w:sz="4" w:space="0" w:color="auto"/>
            </w:tcBorders>
          </w:tcPr>
          <w:p w14:paraId="5ADF3457" w14:textId="25E73D42" w:rsidR="00F02C4C" w:rsidRPr="00FF3F8D" w:rsidRDefault="00F02C4C" w:rsidP="00391350">
            <w:pPr>
              <w:rPr>
                <w:rFonts w:cs="Arial"/>
                <w:sz w:val="18"/>
                <w:szCs w:val="18"/>
              </w:rPr>
            </w:pPr>
          </w:p>
        </w:tc>
      </w:tr>
    </w:tbl>
    <w:p w14:paraId="26D91400" w14:textId="77777777" w:rsidR="00BF79DB" w:rsidRPr="00D25DF8" w:rsidRDefault="00BF79DB" w:rsidP="00391350">
      <w:pPr>
        <w:tabs>
          <w:tab w:val="left" w:pos="3330"/>
          <w:tab w:val="left" w:pos="4140"/>
          <w:tab w:val="left" w:pos="4770"/>
          <w:tab w:val="left" w:pos="7470"/>
        </w:tabs>
        <w:rPr>
          <w:color w:val="FF0000"/>
          <w:sz w:val="20"/>
        </w:rPr>
      </w:pPr>
    </w:p>
    <w:p w14:paraId="70E10110" w14:textId="77777777" w:rsidR="006A25F8" w:rsidRDefault="006A25F8" w:rsidP="00391350">
      <w:pPr>
        <w:pStyle w:val="BodyText"/>
        <w:kinsoku w:val="0"/>
        <w:overflowPunct w:val="0"/>
        <w:ind w:right="389"/>
        <w:rPr>
          <w:rFonts w:cs="Arial"/>
          <w:spacing w:val="0"/>
          <w:sz w:val="22"/>
          <w:szCs w:val="22"/>
        </w:rPr>
      </w:pPr>
      <w:r w:rsidRPr="00FF3F8D">
        <w:rPr>
          <w:rFonts w:cs="Arial"/>
          <w:spacing w:val="0"/>
          <w:sz w:val="22"/>
          <w:szCs w:val="22"/>
        </w:rPr>
        <w:t xml:space="preserve">The Company has been established as a closed-ended fund and, as such, Shareholders do not have the right to redeem their Shares. The Shares are held in trust by Capita IRG Trustees Limited (the “Depository”) in accordance with the Depository Agreement between the Company and the Depository. The Depository holds the Shares and in turn issues depository interests in respect of the underlying Shares which have the same rights and </w:t>
      </w:r>
      <w:r w:rsidR="009E7790" w:rsidRPr="00FF3F8D">
        <w:rPr>
          <w:rFonts w:cs="Arial"/>
          <w:spacing w:val="0"/>
          <w:sz w:val="22"/>
          <w:szCs w:val="22"/>
        </w:rPr>
        <w:t>character</w:t>
      </w:r>
      <w:r w:rsidRPr="00FF3F8D">
        <w:rPr>
          <w:rFonts w:cs="Arial"/>
          <w:spacing w:val="0"/>
          <w:sz w:val="22"/>
          <w:szCs w:val="22"/>
        </w:rPr>
        <w:t>istics of the Shares.</w:t>
      </w:r>
    </w:p>
    <w:p w14:paraId="4361458F" w14:textId="77777777" w:rsidR="00261BD5" w:rsidRPr="00FF3F8D" w:rsidRDefault="00261BD5" w:rsidP="00391350">
      <w:pPr>
        <w:pStyle w:val="BodyText"/>
        <w:kinsoku w:val="0"/>
        <w:overflowPunct w:val="0"/>
        <w:ind w:right="389"/>
        <w:rPr>
          <w:rFonts w:cs="Arial"/>
          <w:spacing w:val="0"/>
          <w:sz w:val="22"/>
          <w:szCs w:val="22"/>
        </w:rPr>
      </w:pPr>
    </w:p>
    <w:p w14:paraId="02F2C471" w14:textId="1439E1CD" w:rsidR="006A25F8" w:rsidRDefault="006A25F8" w:rsidP="00261BD5">
      <w:pPr>
        <w:pStyle w:val="BodyText"/>
        <w:kinsoku w:val="0"/>
        <w:overflowPunct w:val="0"/>
        <w:spacing w:before="115"/>
        <w:ind w:right="391"/>
        <w:contextualSpacing/>
        <w:rPr>
          <w:rFonts w:cs="Arial"/>
          <w:spacing w:val="0"/>
          <w:sz w:val="22"/>
          <w:szCs w:val="22"/>
        </w:rPr>
      </w:pPr>
      <w:r w:rsidRPr="009866BD">
        <w:rPr>
          <w:rFonts w:cs="Arial"/>
          <w:spacing w:val="0"/>
          <w:sz w:val="22"/>
          <w:szCs w:val="22"/>
        </w:rPr>
        <w:t xml:space="preserve">The Board has the ability to issue C Shares during any period when the Master Fund has designated one or more investments as “Side Pocket Investments”. This typically will happen if a covered or other pre-determined event has recently occurred or seems likely to occur under an Insurance-Linked Instrument. In such circumstances, only those Shareholders on the date that the investment has been designated as a Side Pocket Investment will participate in the potential losses and premiums attributable to such Side Pocket </w:t>
      </w:r>
      <w:r w:rsidR="00834A8C" w:rsidRPr="009866BD">
        <w:rPr>
          <w:rFonts w:cs="Arial"/>
          <w:spacing w:val="0"/>
          <w:sz w:val="22"/>
          <w:szCs w:val="22"/>
        </w:rPr>
        <w:t>I</w:t>
      </w:r>
      <w:r w:rsidRPr="009866BD">
        <w:rPr>
          <w:rFonts w:cs="Arial"/>
          <w:spacing w:val="0"/>
          <w:sz w:val="22"/>
          <w:szCs w:val="22"/>
        </w:rPr>
        <w:t xml:space="preserve">nvestment. Any shares issued when side pockets exist will be as C Shares that will participate in </w:t>
      </w:r>
      <w:proofErr w:type="gramStart"/>
      <w:r w:rsidRPr="009866BD">
        <w:rPr>
          <w:rFonts w:cs="Arial"/>
          <w:spacing w:val="0"/>
          <w:sz w:val="22"/>
          <w:szCs w:val="22"/>
        </w:rPr>
        <w:t>all of the Master Fund’s</w:t>
      </w:r>
      <w:proofErr w:type="gramEnd"/>
      <w:r w:rsidRPr="009866BD">
        <w:rPr>
          <w:rFonts w:cs="Arial"/>
          <w:spacing w:val="0"/>
          <w:sz w:val="22"/>
          <w:szCs w:val="22"/>
        </w:rPr>
        <w:t xml:space="preserve"> portfolio other than in respect of potential losses and premiums attributable to any Side Pocket Investments in existence at the time of issue. If no Side Pocket Investments are in existence at the time of proposed issue, it is expected that the Company will issue further Ordinary Shares.</w:t>
      </w:r>
    </w:p>
    <w:p w14:paraId="05B659FE" w14:textId="77777777" w:rsidR="00261BD5" w:rsidRPr="009866BD" w:rsidRDefault="00261BD5" w:rsidP="00261BD5">
      <w:pPr>
        <w:pStyle w:val="BodyText"/>
        <w:kinsoku w:val="0"/>
        <w:overflowPunct w:val="0"/>
        <w:spacing w:before="115"/>
        <w:ind w:right="391"/>
        <w:contextualSpacing/>
        <w:rPr>
          <w:rFonts w:cs="Arial"/>
          <w:spacing w:val="0"/>
          <w:sz w:val="22"/>
          <w:szCs w:val="22"/>
        </w:rPr>
      </w:pPr>
    </w:p>
    <w:p w14:paraId="3666DFD2" w14:textId="672C6FA0" w:rsidR="006A25F8" w:rsidRDefault="009866BD" w:rsidP="00261BD5">
      <w:pPr>
        <w:pStyle w:val="BodyText"/>
        <w:kinsoku w:val="0"/>
        <w:overflowPunct w:val="0"/>
        <w:spacing w:before="115"/>
        <w:ind w:right="391"/>
        <w:contextualSpacing/>
        <w:rPr>
          <w:rFonts w:cs="Arial"/>
          <w:spacing w:val="0"/>
          <w:sz w:val="22"/>
          <w:szCs w:val="22"/>
        </w:rPr>
      </w:pPr>
      <w:r w:rsidRPr="009866BD">
        <w:rPr>
          <w:rFonts w:cs="Arial"/>
          <w:spacing w:val="0"/>
          <w:sz w:val="22"/>
          <w:szCs w:val="22"/>
        </w:rPr>
        <w:t>On 5 January 2015</w:t>
      </w:r>
      <w:r w:rsidR="006C41D3">
        <w:rPr>
          <w:rFonts w:cs="Arial"/>
          <w:spacing w:val="0"/>
          <w:sz w:val="22"/>
          <w:szCs w:val="22"/>
        </w:rPr>
        <w:t xml:space="preserve">, the Board declared a </w:t>
      </w:r>
      <w:r w:rsidR="006A25F8" w:rsidRPr="009866BD">
        <w:rPr>
          <w:rFonts w:cs="Arial"/>
          <w:spacing w:val="0"/>
          <w:sz w:val="22"/>
          <w:szCs w:val="22"/>
        </w:rPr>
        <w:t>dividend of $0.05</w:t>
      </w:r>
      <w:r w:rsidRPr="009866BD">
        <w:rPr>
          <w:rFonts w:cs="Arial"/>
          <w:spacing w:val="0"/>
          <w:sz w:val="22"/>
          <w:szCs w:val="22"/>
        </w:rPr>
        <w:t>929</w:t>
      </w:r>
      <w:r w:rsidR="006A25F8" w:rsidRPr="009866BD">
        <w:rPr>
          <w:rFonts w:cs="Arial"/>
          <w:spacing w:val="0"/>
          <w:sz w:val="22"/>
          <w:szCs w:val="22"/>
        </w:rPr>
        <w:t xml:space="preserve"> per Share in respect of the Ordinary</w:t>
      </w:r>
      <w:r w:rsidRPr="009866BD">
        <w:rPr>
          <w:rFonts w:cs="Arial"/>
          <w:spacing w:val="0"/>
          <w:sz w:val="22"/>
          <w:szCs w:val="22"/>
        </w:rPr>
        <w:t xml:space="preserve"> Shares with a record date of 16 January 2015 and was paid on 30 January 2015</w:t>
      </w:r>
      <w:r w:rsidR="006A25F8" w:rsidRPr="009866BD">
        <w:rPr>
          <w:rFonts w:cs="Arial"/>
          <w:spacing w:val="0"/>
          <w:sz w:val="22"/>
          <w:szCs w:val="22"/>
        </w:rPr>
        <w:t xml:space="preserve">. </w:t>
      </w:r>
    </w:p>
    <w:p w14:paraId="3FA70CFC" w14:textId="77777777" w:rsidR="00261BD5" w:rsidRPr="009866BD" w:rsidRDefault="00261BD5" w:rsidP="00261BD5">
      <w:pPr>
        <w:pStyle w:val="BodyText"/>
        <w:kinsoku w:val="0"/>
        <w:overflowPunct w:val="0"/>
        <w:spacing w:before="115"/>
        <w:ind w:right="391"/>
        <w:contextualSpacing/>
        <w:rPr>
          <w:rFonts w:cs="Arial"/>
          <w:spacing w:val="0"/>
          <w:sz w:val="22"/>
          <w:szCs w:val="22"/>
        </w:rPr>
      </w:pPr>
    </w:p>
    <w:p w14:paraId="28C4026D" w14:textId="3E89E299" w:rsidR="009866BD" w:rsidRPr="009866BD" w:rsidRDefault="006A25F8" w:rsidP="00261BD5">
      <w:pPr>
        <w:pStyle w:val="BodyText"/>
        <w:kinsoku w:val="0"/>
        <w:overflowPunct w:val="0"/>
        <w:spacing w:before="115"/>
        <w:ind w:right="391"/>
        <w:contextualSpacing/>
        <w:rPr>
          <w:rFonts w:cs="Arial"/>
          <w:spacing w:val="0"/>
          <w:sz w:val="22"/>
          <w:szCs w:val="22"/>
        </w:rPr>
      </w:pPr>
      <w:r w:rsidRPr="009866BD">
        <w:rPr>
          <w:rFonts w:cs="Arial"/>
          <w:spacing w:val="0"/>
          <w:sz w:val="22"/>
          <w:szCs w:val="22"/>
        </w:rPr>
        <w:t>In addition, the Board annou</w:t>
      </w:r>
      <w:r w:rsidR="009866BD" w:rsidRPr="009866BD">
        <w:rPr>
          <w:rFonts w:cs="Arial"/>
          <w:spacing w:val="0"/>
          <w:sz w:val="22"/>
          <w:szCs w:val="22"/>
        </w:rPr>
        <w:t>nced on 5 January 2015</w:t>
      </w:r>
      <w:r w:rsidRPr="00D25DF8">
        <w:rPr>
          <w:rFonts w:cs="Arial"/>
          <w:color w:val="FF0000"/>
          <w:spacing w:val="0"/>
          <w:sz w:val="22"/>
          <w:szCs w:val="22"/>
        </w:rPr>
        <w:t xml:space="preserve"> </w:t>
      </w:r>
      <w:r w:rsidR="009866BD">
        <w:rPr>
          <w:rFonts w:cs="Arial"/>
          <w:spacing w:val="0"/>
          <w:sz w:val="22"/>
          <w:szCs w:val="22"/>
        </w:rPr>
        <w:t>that the proposed return of value to Shareholders of $0.11528 per existing Ordinary Share, equivalent to approximately $35,000,000, and the subsequent share capital consolidation was approved. Following the share capital consolidation, a total of 273,224,673 Ordinary Shares were in issue effective 30 January 2015 and the return of value paid to Shareholders on 9 February 2015 amounted to $34,997,045.</w:t>
      </w:r>
    </w:p>
    <w:p w14:paraId="5CEA4AC8" w14:textId="77777777" w:rsidR="00470906" w:rsidRPr="009866BD" w:rsidRDefault="00470906" w:rsidP="00E343B0">
      <w:pPr>
        <w:suppressAutoHyphens/>
        <w:jc w:val="both"/>
        <w:rPr>
          <w:rFonts w:cs="Arial"/>
          <w:szCs w:val="22"/>
        </w:rPr>
      </w:pPr>
    </w:p>
    <w:p w14:paraId="2343C49B" w14:textId="77777777" w:rsidR="00B23E41" w:rsidRPr="009866BD" w:rsidRDefault="001A5FB0" w:rsidP="00E34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bCs/>
          <w:noProof/>
          <w:szCs w:val="22"/>
        </w:rPr>
      </w:pPr>
      <w:r w:rsidRPr="009866BD">
        <w:rPr>
          <w:rFonts w:cs="Arial"/>
          <w:b/>
          <w:szCs w:val="22"/>
        </w:rPr>
        <w:t xml:space="preserve">7.   </w:t>
      </w:r>
      <w:r w:rsidR="00834A8C" w:rsidRPr="009866BD">
        <w:rPr>
          <w:rFonts w:cs="Arial"/>
          <w:b/>
          <w:szCs w:val="22"/>
        </w:rPr>
        <w:t>INVESTMENT MANAGEMENT AGREEMENT</w:t>
      </w:r>
    </w:p>
    <w:p w14:paraId="79DA4200" w14:textId="029DCE77" w:rsidR="009E7790" w:rsidRPr="009866BD" w:rsidRDefault="009E7790" w:rsidP="009E7790">
      <w:pPr>
        <w:pStyle w:val="BodyText"/>
        <w:kinsoku w:val="0"/>
        <w:overflowPunct w:val="0"/>
        <w:spacing w:before="57"/>
        <w:ind w:right="389"/>
        <w:rPr>
          <w:rFonts w:cs="Arial"/>
          <w:spacing w:val="0"/>
          <w:sz w:val="22"/>
          <w:szCs w:val="22"/>
        </w:rPr>
      </w:pPr>
      <w:r w:rsidRPr="009866BD">
        <w:rPr>
          <w:rFonts w:cs="Arial"/>
          <w:spacing w:val="0"/>
          <w:sz w:val="22"/>
          <w:szCs w:val="22"/>
        </w:rPr>
        <w:t>Pursuant to the Investment Management Agreement dated 16 December 2010, the Investment Manager is empowered to formulate the overall investment strategy to be carried out by the Company and to exercise full discretion in the management of the trading, investment transactions and related borrowing activities of the Company in order to implement such strategy.</w:t>
      </w:r>
      <w:r w:rsidR="009866BD" w:rsidRPr="009866BD">
        <w:rPr>
          <w:rFonts w:cs="Arial"/>
          <w:spacing w:val="0"/>
          <w:sz w:val="22"/>
          <w:szCs w:val="22"/>
        </w:rPr>
        <w:t xml:space="preserve"> The Investment Manager earns a fee for providing such services (see Note 8).</w:t>
      </w:r>
    </w:p>
    <w:p w14:paraId="694755AC" w14:textId="77777777" w:rsidR="00470906" w:rsidRPr="000540B3" w:rsidRDefault="00470906" w:rsidP="00E343B0">
      <w:pPr>
        <w:ind w:right="-108"/>
        <w:jc w:val="both"/>
        <w:rPr>
          <w:rFonts w:cs="Arial"/>
          <w:b/>
          <w:bCs/>
          <w:noProof/>
          <w:szCs w:val="22"/>
        </w:rPr>
      </w:pPr>
    </w:p>
    <w:p w14:paraId="70AEA3B6" w14:textId="77777777" w:rsidR="00B23E41" w:rsidRPr="000540B3" w:rsidRDefault="001A5FB0" w:rsidP="00E34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Cs w:val="22"/>
        </w:rPr>
      </w:pPr>
      <w:r w:rsidRPr="000540B3">
        <w:rPr>
          <w:rFonts w:cs="Arial"/>
          <w:b/>
          <w:szCs w:val="22"/>
        </w:rPr>
        <w:t xml:space="preserve">8.    </w:t>
      </w:r>
      <w:r w:rsidR="00834A8C" w:rsidRPr="000540B3">
        <w:rPr>
          <w:rFonts w:cs="Arial"/>
          <w:b/>
          <w:szCs w:val="22"/>
        </w:rPr>
        <w:t>RELATED PARTY TRANSACTIONS</w:t>
      </w:r>
    </w:p>
    <w:p w14:paraId="76CB8376" w14:textId="49BE37CF" w:rsidR="009E7790" w:rsidRDefault="009E7790" w:rsidP="00261BD5">
      <w:pPr>
        <w:pStyle w:val="BodyText"/>
        <w:kinsoku w:val="0"/>
        <w:overflowPunct w:val="0"/>
        <w:spacing w:before="57"/>
        <w:ind w:right="391"/>
        <w:contextualSpacing/>
        <w:rPr>
          <w:rFonts w:cs="Arial"/>
          <w:spacing w:val="0"/>
          <w:sz w:val="22"/>
          <w:szCs w:val="22"/>
        </w:rPr>
      </w:pPr>
      <w:r w:rsidRPr="000540B3">
        <w:rPr>
          <w:rFonts w:cs="Arial"/>
          <w:spacing w:val="0"/>
          <w:sz w:val="22"/>
          <w:szCs w:val="22"/>
        </w:rPr>
        <w:t>The Investment Manager of the Company is also the Investment Manager of the Master Fund. The Investment Manager is entitled to a management fee, calculated and payable monthly in arrear</w:t>
      </w:r>
      <w:r w:rsidR="00834A8C" w:rsidRPr="000540B3">
        <w:rPr>
          <w:rFonts w:cs="Arial"/>
          <w:spacing w:val="0"/>
          <w:sz w:val="22"/>
          <w:szCs w:val="22"/>
        </w:rPr>
        <w:t>s equal to 1/12 of 1.5% of the Net Asset V</w:t>
      </w:r>
      <w:r w:rsidRPr="000540B3">
        <w:rPr>
          <w:rFonts w:cs="Arial"/>
          <w:spacing w:val="0"/>
          <w:sz w:val="22"/>
          <w:szCs w:val="22"/>
        </w:rPr>
        <w:t>alue of the Company, which is not attributable to the Company’s investment in the Master Fund’s Shares as at the last calendar day of each calendar month. Management fees related to the investment in the Master Fund’s Shares are charged in the Master Fund and allocated to the Company. Performance fees are charged in the Master Fund and allocated to the Company.</w:t>
      </w:r>
    </w:p>
    <w:p w14:paraId="06AA03BB" w14:textId="77777777" w:rsidR="00261BD5" w:rsidRPr="000540B3" w:rsidRDefault="00261BD5" w:rsidP="00261BD5">
      <w:pPr>
        <w:pStyle w:val="BodyText"/>
        <w:kinsoku w:val="0"/>
        <w:overflowPunct w:val="0"/>
        <w:spacing w:before="57"/>
        <w:ind w:right="391"/>
        <w:contextualSpacing/>
        <w:rPr>
          <w:rFonts w:cs="Arial"/>
          <w:spacing w:val="0"/>
          <w:sz w:val="22"/>
          <w:szCs w:val="22"/>
        </w:rPr>
      </w:pPr>
    </w:p>
    <w:p w14:paraId="787F39EE" w14:textId="77777777" w:rsidR="009E7790" w:rsidRDefault="009E7790" w:rsidP="00261BD5">
      <w:pPr>
        <w:pStyle w:val="BodyText"/>
        <w:kinsoku w:val="0"/>
        <w:overflowPunct w:val="0"/>
        <w:spacing w:before="115"/>
        <w:ind w:right="391"/>
        <w:contextualSpacing/>
        <w:rPr>
          <w:rFonts w:cs="Arial"/>
          <w:spacing w:val="0"/>
          <w:sz w:val="22"/>
          <w:szCs w:val="22"/>
        </w:rPr>
      </w:pPr>
      <w:r w:rsidRPr="000540B3">
        <w:rPr>
          <w:rFonts w:cs="Arial"/>
          <w:spacing w:val="0"/>
          <w:sz w:val="22"/>
          <w:szCs w:val="22"/>
        </w:rPr>
        <w:t>The Investment Manager is also the Insurance Manager of the Reinsurer.</w:t>
      </w:r>
    </w:p>
    <w:p w14:paraId="435DCACA" w14:textId="77777777" w:rsidR="00261BD5" w:rsidRPr="000540B3" w:rsidRDefault="00261BD5" w:rsidP="00261BD5">
      <w:pPr>
        <w:pStyle w:val="BodyText"/>
        <w:kinsoku w:val="0"/>
        <w:overflowPunct w:val="0"/>
        <w:spacing w:before="115"/>
        <w:ind w:right="391"/>
        <w:contextualSpacing/>
        <w:rPr>
          <w:rFonts w:cs="Arial"/>
          <w:spacing w:val="0"/>
          <w:sz w:val="22"/>
          <w:szCs w:val="22"/>
        </w:rPr>
      </w:pPr>
    </w:p>
    <w:p w14:paraId="43DE473D" w14:textId="072B1BD5" w:rsidR="009E7790" w:rsidRDefault="009E7790" w:rsidP="00261BD5">
      <w:pPr>
        <w:pStyle w:val="BodyText"/>
        <w:kinsoku w:val="0"/>
        <w:overflowPunct w:val="0"/>
        <w:spacing w:before="57"/>
        <w:ind w:right="391"/>
        <w:contextualSpacing/>
        <w:rPr>
          <w:rFonts w:cs="Arial"/>
          <w:spacing w:val="0"/>
          <w:sz w:val="22"/>
          <w:szCs w:val="22"/>
        </w:rPr>
      </w:pPr>
      <w:r w:rsidRPr="000540B3">
        <w:rPr>
          <w:rFonts w:cs="Arial"/>
          <w:spacing w:val="0"/>
          <w:sz w:val="22"/>
          <w:szCs w:val="22"/>
        </w:rPr>
        <w:t xml:space="preserve">Qatar Insurance Company, </w:t>
      </w:r>
      <w:r w:rsidR="00D63643" w:rsidRPr="000540B3">
        <w:rPr>
          <w:rFonts w:cs="Arial"/>
          <w:spacing w:val="0"/>
          <w:sz w:val="22"/>
          <w:szCs w:val="22"/>
        </w:rPr>
        <w:t xml:space="preserve">which holds the entire share capital </w:t>
      </w:r>
      <w:r w:rsidRPr="000540B3">
        <w:rPr>
          <w:rFonts w:cs="Arial"/>
          <w:spacing w:val="0"/>
          <w:sz w:val="22"/>
          <w:szCs w:val="22"/>
        </w:rPr>
        <w:t>of t</w:t>
      </w:r>
      <w:r w:rsidR="000540B3" w:rsidRPr="000540B3">
        <w:rPr>
          <w:rFonts w:cs="Arial"/>
          <w:spacing w:val="0"/>
          <w:sz w:val="22"/>
          <w:szCs w:val="22"/>
        </w:rPr>
        <w:t>he Investment Manager, held 2.51% and 5.39</w:t>
      </w:r>
      <w:r w:rsidRPr="000540B3">
        <w:rPr>
          <w:rFonts w:cs="Arial"/>
          <w:spacing w:val="0"/>
          <w:sz w:val="22"/>
          <w:szCs w:val="22"/>
        </w:rPr>
        <w:t>% of the voting rights of the Ordinary Shares issued in th</w:t>
      </w:r>
      <w:r w:rsidR="000540B3" w:rsidRPr="000540B3">
        <w:rPr>
          <w:rFonts w:cs="Arial"/>
          <w:spacing w:val="0"/>
          <w:sz w:val="22"/>
          <w:szCs w:val="22"/>
        </w:rPr>
        <w:t>e Company as of 31 December 2015 and 31 December 2014</w:t>
      </w:r>
      <w:r w:rsidRPr="000540B3">
        <w:rPr>
          <w:rFonts w:cs="Arial"/>
          <w:spacing w:val="0"/>
          <w:sz w:val="22"/>
          <w:szCs w:val="22"/>
        </w:rPr>
        <w:t xml:space="preserve"> respectively.</w:t>
      </w:r>
      <w:r w:rsidR="000540B3" w:rsidRPr="000540B3">
        <w:rPr>
          <w:rFonts w:cs="Arial"/>
          <w:spacing w:val="0"/>
          <w:sz w:val="22"/>
          <w:szCs w:val="22"/>
        </w:rPr>
        <w:t xml:space="preserve"> Furthermore, Markel held 27.22% of the voting rights of the C Shares issued in the Company as of 31 December 2015.</w:t>
      </w:r>
    </w:p>
    <w:p w14:paraId="00398785" w14:textId="77777777" w:rsidR="00261BD5" w:rsidRDefault="00261BD5" w:rsidP="00261BD5">
      <w:pPr>
        <w:pStyle w:val="BodyText"/>
        <w:kinsoku w:val="0"/>
        <w:overflowPunct w:val="0"/>
        <w:spacing w:before="57"/>
        <w:ind w:right="391"/>
        <w:contextualSpacing/>
        <w:rPr>
          <w:rFonts w:cs="Arial"/>
          <w:spacing w:val="0"/>
          <w:sz w:val="22"/>
          <w:szCs w:val="22"/>
        </w:rPr>
      </w:pPr>
    </w:p>
    <w:p w14:paraId="1BD776EC" w14:textId="5B4DE723" w:rsidR="000540B3" w:rsidRDefault="000540B3" w:rsidP="00261BD5">
      <w:pPr>
        <w:pStyle w:val="BodyText"/>
        <w:kinsoku w:val="0"/>
        <w:overflowPunct w:val="0"/>
        <w:spacing w:before="57"/>
        <w:ind w:right="391"/>
        <w:contextualSpacing/>
        <w:rPr>
          <w:rFonts w:cs="Arial"/>
          <w:spacing w:val="0"/>
          <w:sz w:val="22"/>
          <w:szCs w:val="22"/>
        </w:rPr>
      </w:pPr>
      <w:r>
        <w:rPr>
          <w:rFonts w:cs="Arial"/>
          <w:spacing w:val="0"/>
          <w:sz w:val="22"/>
          <w:szCs w:val="22"/>
        </w:rPr>
        <w:t xml:space="preserve">The </w:t>
      </w:r>
      <w:r w:rsidRPr="000540B3">
        <w:rPr>
          <w:rFonts w:cs="Arial"/>
          <w:spacing w:val="0"/>
          <w:sz w:val="22"/>
          <w:szCs w:val="22"/>
        </w:rPr>
        <w:t>Company made an advance subscription of $88mn to Markel CATCo Reinsurance Fund Ltd. – Markel CATCo Diversified Fund on 30 December 2015.</w:t>
      </w:r>
    </w:p>
    <w:p w14:paraId="3A10AE84" w14:textId="77777777" w:rsidR="00261BD5" w:rsidRPr="000540B3" w:rsidRDefault="00261BD5" w:rsidP="00261BD5">
      <w:pPr>
        <w:pStyle w:val="BodyText"/>
        <w:kinsoku w:val="0"/>
        <w:overflowPunct w:val="0"/>
        <w:spacing w:before="57"/>
        <w:ind w:right="391"/>
        <w:contextualSpacing/>
        <w:rPr>
          <w:rFonts w:cs="Arial"/>
          <w:spacing w:val="0"/>
          <w:sz w:val="22"/>
          <w:szCs w:val="22"/>
        </w:rPr>
      </w:pPr>
    </w:p>
    <w:p w14:paraId="103C32DE" w14:textId="4AC6CEB0" w:rsidR="00556FE6" w:rsidRPr="00261BD5" w:rsidRDefault="000540B3" w:rsidP="00261BD5">
      <w:pPr>
        <w:pStyle w:val="BodyText"/>
        <w:kinsoku w:val="0"/>
        <w:overflowPunct w:val="0"/>
        <w:spacing w:before="115"/>
        <w:ind w:right="391"/>
        <w:contextualSpacing/>
        <w:rPr>
          <w:rFonts w:cs="Arial"/>
          <w:spacing w:val="0"/>
          <w:sz w:val="22"/>
          <w:szCs w:val="22"/>
        </w:rPr>
      </w:pPr>
      <w:r w:rsidRPr="000540B3">
        <w:rPr>
          <w:rFonts w:cs="Arial"/>
          <w:spacing w:val="0"/>
          <w:sz w:val="22"/>
          <w:szCs w:val="22"/>
        </w:rPr>
        <w:t xml:space="preserve">In addition, </w:t>
      </w:r>
      <w:r w:rsidR="000E50DB">
        <w:rPr>
          <w:rFonts w:cs="Arial"/>
          <w:spacing w:val="0"/>
          <w:sz w:val="22"/>
          <w:szCs w:val="22"/>
        </w:rPr>
        <w:t xml:space="preserve">three of </w:t>
      </w:r>
      <w:r w:rsidRPr="000540B3">
        <w:rPr>
          <w:rFonts w:cs="Arial"/>
          <w:spacing w:val="0"/>
          <w:sz w:val="22"/>
          <w:szCs w:val="22"/>
        </w:rPr>
        <w:t>the D</w:t>
      </w:r>
      <w:r w:rsidR="009E7790" w:rsidRPr="000540B3">
        <w:rPr>
          <w:rFonts w:cs="Arial"/>
          <w:spacing w:val="0"/>
          <w:sz w:val="22"/>
          <w:szCs w:val="22"/>
        </w:rPr>
        <w:t>irectors of the Company are also Shareholders of the Company.</w:t>
      </w:r>
    </w:p>
    <w:p w14:paraId="707831B5" w14:textId="77777777" w:rsidR="00470906" w:rsidRPr="000540B3" w:rsidRDefault="00470906" w:rsidP="00E343B0">
      <w:pPr>
        <w:ind w:right="-108"/>
        <w:jc w:val="both"/>
        <w:rPr>
          <w:rFonts w:cs="Arial"/>
          <w:b/>
          <w:bCs/>
          <w:noProof/>
          <w:szCs w:val="22"/>
        </w:rPr>
      </w:pPr>
    </w:p>
    <w:p w14:paraId="4E17DC66" w14:textId="77777777" w:rsidR="00B23E41" w:rsidRPr="000540B3" w:rsidRDefault="001A5FB0" w:rsidP="00E34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bCs/>
          <w:noProof/>
          <w:szCs w:val="22"/>
        </w:rPr>
      </w:pPr>
      <w:r w:rsidRPr="000540B3">
        <w:rPr>
          <w:rFonts w:cs="Arial"/>
          <w:b/>
          <w:szCs w:val="22"/>
        </w:rPr>
        <w:t xml:space="preserve">9.    </w:t>
      </w:r>
      <w:r w:rsidR="00834A8C" w:rsidRPr="000540B3">
        <w:rPr>
          <w:rFonts w:cs="Arial"/>
          <w:b/>
          <w:szCs w:val="22"/>
        </w:rPr>
        <w:t>ADMINISTRATION FEE</w:t>
      </w:r>
    </w:p>
    <w:p w14:paraId="3195D025" w14:textId="47F41E3D" w:rsidR="00391350" w:rsidRPr="00261BD5" w:rsidRDefault="009E7790" w:rsidP="00261BD5">
      <w:pPr>
        <w:pStyle w:val="BodyText"/>
        <w:kinsoku w:val="0"/>
        <w:overflowPunct w:val="0"/>
        <w:spacing w:before="57"/>
        <w:ind w:right="389"/>
        <w:rPr>
          <w:rFonts w:cs="Arial"/>
          <w:spacing w:val="0"/>
          <w:sz w:val="22"/>
          <w:szCs w:val="22"/>
        </w:rPr>
      </w:pPr>
      <w:r w:rsidRPr="000540B3">
        <w:rPr>
          <w:rFonts w:cs="Arial"/>
          <w:spacing w:val="0"/>
          <w:sz w:val="22"/>
          <w:szCs w:val="22"/>
        </w:rPr>
        <w:t xml:space="preserve">Prime Management Limited, a division of SS&amp;C </w:t>
      </w:r>
      <w:proofErr w:type="spellStart"/>
      <w:r w:rsidRPr="000540B3">
        <w:rPr>
          <w:rFonts w:cs="Arial"/>
          <w:spacing w:val="0"/>
          <w:sz w:val="22"/>
          <w:szCs w:val="22"/>
        </w:rPr>
        <w:t>GlobeOp</w:t>
      </w:r>
      <w:proofErr w:type="spellEnd"/>
      <w:r w:rsidRPr="000540B3">
        <w:rPr>
          <w:rFonts w:cs="Arial"/>
          <w:spacing w:val="0"/>
          <w:sz w:val="22"/>
          <w:szCs w:val="22"/>
        </w:rPr>
        <w:t xml:space="preserve">, serves as the Company's Administrator and performs certain administrative services on behalf of the Company. For the provision of the service under the </w:t>
      </w:r>
      <w:r w:rsidR="00766353">
        <w:rPr>
          <w:rFonts w:cs="Arial"/>
          <w:spacing w:val="0"/>
          <w:sz w:val="22"/>
          <w:szCs w:val="22"/>
        </w:rPr>
        <w:t>A</w:t>
      </w:r>
      <w:r w:rsidRPr="000540B3">
        <w:rPr>
          <w:rFonts w:cs="Arial"/>
          <w:spacing w:val="0"/>
          <w:sz w:val="22"/>
          <w:szCs w:val="22"/>
        </w:rPr>
        <w:t xml:space="preserve">dministration </w:t>
      </w:r>
      <w:r w:rsidR="00766353">
        <w:rPr>
          <w:rFonts w:cs="Arial"/>
          <w:spacing w:val="0"/>
          <w:sz w:val="22"/>
          <w:szCs w:val="22"/>
        </w:rPr>
        <w:t>A</w:t>
      </w:r>
      <w:r w:rsidRPr="000540B3">
        <w:rPr>
          <w:rFonts w:cs="Arial"/>
          <w:spacing w:val="0"/>
          <w:sz w:val="22"/>
          <w:szCs w:val="22"/>
        </w:rPr>
        <w:t>greement, the Administrator receives a ﬁxed fee.</w:t>
      </w:r>
    </w:p>
    <w:p w14:paraId="5B5EDB5B" w14:textId="77777777" w:rsidR="009E7790" w:rsidRPr="000540B3" w:rsidRDefault="009E7790" w:rsidP="00107976">
      <w:pPr>
        <w:ind w:right="-108"/>
        <w:rPr>
          <w:rFonts w:cs="Arial"/>
          <w:b/>
          <w:bCs/>
          <w:noProof/>
          <w:szCs w:val="22"/>
        </w:rPr>
      </w:pPr>
    </w:p>
    <w:p w14:paraId="61120993" w14:textId="77777777" w:rsidR="00556FE6" w:rsidRPr="000540B3" w:rsidRDefault="001A5FB0" w:rsidP="00107976">
      <w:pPr>
        <w:ind w:right="-108"/>
        <w:rPr>
          <w:rFonts w:cs="Arial"/>
          <w:b/>
          <w:szCs w:val="22"/>
        </w:rPr>
      </w:pPr>
      <w:r w:rsidRPr="000540B3">
        <w:rPr>
          <w:rFonts w:cs="Arial"/>
          <w:b/>
          <w:bCs/>
          <w:noProof/>
          <w:szCs w:val="22"/>
        </w:rPr>
        <w:t xml:space="preserve">10. </w:t>
      </w:r>
      <w:r w:rsidR="00307691" w:rsidRPr="000540B3">
        <w:rPr>
          <w:rFonts w:cs="Arial"/>
          <w:b/>
          <w:bCs/>
          <w:noProof/>
          <w:szCs w:val="22"/>
        </w:rPr>
        <w:t>FINANCIAL HIGHLIGHTS</w:t>
      </w:r>
      <w:r w:rsidRPr="000540B3">
        <w:rPr>
          <w:rFonts w:cs="Arial"/>
          <w:b/>
          <w:bCs/>
          <w:noProof/>
          <w:szCs w:val="22"/>
        </w:rPr>
        <w:t xml:space="preserve"> </w:t>
      </w:r>
    </w:p>
    <w:p w14:paraId="0C062C3D" w14:textId="69810D6A" w:rsidR="003A6C5D" w:rsidRPr="000540B3" w:rsidRDefault="009E7790" w:rsidP="003A6C5D">
      <w:pPr>
        <w:rPr>
          <w:szCs w:val="22"/>
        </w:rPr>
      </w:pPr>
      <w:r w:rsidRPr="000540B3">
        <w:rPr>
          <w:szCs w:val="22"/>
        </w:rPr>
        <w:t>Financial</w:t>
      </w:r>
      <w:r w:rsidR="000540B3" w:rsidRPr="000540B3">
        <w:rPr>
          <w:szCs w:val="22"/>
        </w:rPr>
        <w:t xml:space="preserve"> highlights for the years ended 31 December 2015 and 2015</w:t>
      </w:r>
      <w:r w:rsidRPr="000540B3">
        <w:rPr>
          <w:szCs w:val="22"/>
        </w:rPr>
        <w:t xml:space="preserve"> are as follows:</w:t>
      </w:r>
    </w:p>
    <w:p w14:paraId="63DBDFD9" w14:textId="77777777" w:rsidR="00C34AAA" w:rsidRPr="000540B3" w:rsidRDefault="00C34AAA" w:rsidP="003A6C5D">
      <w:pPr>
        <w:rPr>
          <w:szCs w:val="22"/>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2034"/>
        <w:gridCol w:w="1980"/>
        <w:gridCol w:w="1980"/>
      </w:tblGrid>
      <w:tr w:rsidR="000540B3" w:rsidRPr="000540B3" w14:paraId="1A9CCF50" w14:textId="77777777" w:rsidTr="000540B3">
        <w:tc>
          <w:tcPr>
            <w:tcW w:w="4644" w:type="dxa"/>
          </w:tcPr>
          <w:p w14:paraId="36A6CE28" w14:textId="77777777" w:rsidR="000540B3" w:rsidRPr="000540B3" w:rsidRDefault="000540B3" w:rsidP="009E7790">
            <w:pPr>
              <w:pStyle w:val="BodyText2"/>
              <w:tabs>
                <w:tab w:val="left" w:pos="5220"/>
              </w:tabs>
              <w:jc w:val="center"/>
              <w:rPr>
                <w:sz w:val="22"/>
                <w:szCs w:val="22"/>
              </w:rPr>
            </w:pPr>
          </w:p>
        </w:tc>
        <w:tc>
          <w:tcPr>
            <w:tcW w:w="4014" w:type="dxa"/>
            <w:gridSpan w:val="2"/>
            <w:vAlign w:val="center"/>
          </w:tcPr>
          <w:p w14:paraId="7E47E1B9" w14:textId="3B7D97FE" w:rsidR="000540B3" w:rsidRPr="000540B3" w:rsidRDefault="000540B3" w:rsidP="000540B3">
            <w:pPr>
              <w:pStyle w:val="BodyText2"/>
              <w:tabs>
                <w:tab w:val="left" w:pos="5220"/>
              </w:tabs>
              <w:jc w:val="center"/>
              <w:rPr>
                <w:b/>
                <w:sz w:val="22"/>
                <w:szCs w:val="22"/>
              </w:rPr>
            </w:pPr>
            <w:r w:rsidRPr="000540B3">
              <w:rPr>
                <w:b/>
                <w:sz w:val="22"/>
                <w:szCs w:val="22"/>
              </w:rPr>
              <w:t>2015</w:t>
            </w:r>
          </w:p>
        </w:tc>
        <w:tc>
          <w:tcPr>
            <w:tcW w:w="1980" w:type="dxa"/>
          </w:tcPr>
          <w:p w14:paraId="26AB7463" w14:textId="5C3CCCFB" w:rsidR="000540B3" w:rsidRPr="000540B3" w:rsidRDefault="000540B3" w:rsidP="00A217D6">
            <w:pPr>
              <w:pStyle w:val="BodyText2"/>
              <w:tabs>
                <w:tab w:val="left" w:pos="5220"/>
              </w:tabs>
              <w:jc w:val="center"/>
              <w:rPr>
                <w:b/>
                <w:sz w:val="22"/>
                <w:szCs w:val="22"/>
              </w:rPr>
            </w:pPr>
            <w:r w:rsidRPr="000540B3">
              <w:rPr>
                <w:b/>
                <w:sz w:val="22"/>
                <w:szCs w:val="22"/>
              </w:rPr>
              <w:t>2014</w:t>
            </w:r>
          </w:p>
        </w:tc>
      </w:tr>
      <w:tr w:rsidR="000540B3" w:rsidRPr="000540B3" w14:paraId="1F2A7DB2" w14:textId="77777777" w:rsidTr="000540B3">
        <w:tc>
          <w:tcPr>
            <w:tcW w:w="4644" w:type="dxa"/>
          </w:tcPr>
          <w:p w14:paraId="052770CF" w14:textId="77777777" w:rsidR="000540B3" w:rsidRPr="000540B3" w:rsidRDefault="000540B3" w:rsidP="009E7790">
            <w:pPr>
              <w:pStyle w:val="BodyText2"/>
              <w:tabs>
                <w:tab w:val="left" w:pos="5220"/>
              </w:tabs>
              <w:jc w:val="center"/>
              <w:rPr>
                <w:sz w:val="22"/>
                <w:szCs w:val="22"/>
              </w:rPr>
            </w:pPr>
          </w:p>
          <w:p w14:paraId="551F7B08" w14:textId="77777777" w:rsidR="000540B3" w:rsidRPr="000540B3" w:rsidRDefault="000540B3" w:rsidP="009E7790">
            <w:pPr>
              <w:pStyle w:val="BodyText2"/>
              <w:tabs>
                <w:tab w:val="left" w:pos="5220"/>
              </w:tabs>
              <w:jc w:val="center"/>
              <w:rPr>
                <w:sz w:val="22"/>
                <w:szCs w:val="22"/>
              </w:rPr>
            </w:pPr>
          </w:p>
          <w:p w14:paraId="33BFC6D6" w14:textId="77777777" w:rsidR="000540B3" w:rsidRPr="000540B3" w:rsidRDefault="000540B3" w:rsidP="009E7790">
            <w:pPr>
              <w:pStyle w:val="BodyText2"/>
              <w:tabs>
                <w:tab w:val="left" w:pos="5220"/>
              </w:tabs>
              <w:jc w:val="left"/>
              <w:rPr>
                <w:i/>
              </w:rPr>
            </w:pPr>
            <w:r w:rsidRPr="000540B3">
              <w:rPr>
                <w:i/>
              </w:rPr>
              <w:t>United States Dollar</w:t>
            </w:r>
          </w:p>
        </w:tc>
        <w:tc>
          <w:tcPr>
            <w:tcW w:w="2034" w:type="dxa"/>
          </w:tcPr>
          <w:p w14:paraId="143130A9" w14:textId="77777777" w:rsidR="000540B3" w:rsidRPr="000540B3" w:rsidRDefault="000540B3" w:rsidP="006D0F55">
            <w:pPr>
              <w:pStyle w:val="BodyText2"/>
              <w:tabs>
                <w:tab w:val="left" w:pos="5220"/>
              </w:tabs>
              <w:rPr>
                <w:b/>
                <w:sz w:val="22"/>
                <w:szCs w:val="22"/>
              </w:rPr>
            </w:pPr>
            <w:r w:rsidRPr="000540B3">
              <w:rPr>
                <w:b/>
                <w:sz w:val="22"/>
                <w:szCs w:val="22"/>
              </w:rPr>
              <w:t>Class 1</w:t>
            </w:r>
          </w:p>
          <w:p w14:paraId="3E247C57" w14:textId="77777777" w:rsidR="000540B3" w:rsidRPr="000540B3" w:rsidRDefault="000540B3" w:rsidP="006D0F55">
            <w:pPr>
              <w:pStyle w:val="BodyText2"/>
              <w:tabs>
                <w:tab w:val="left" w:pos="5220"/>
              </w:tabs>
              <w:rPr>
                <w:b/>
                <w:sz w:val="22"/>
                <w:szCs w:val="22"/>
              </w:rPr>
            </w:pPr>
            <w:r w:rsidRPr="000540B3">
              <w:rPr>
                <w:b/>
                <w:sz w:val="22"/>
                <w:szCs w:val="22"/>
              </w:rPr>
              <w:t>Ordinary Shares</w:t>
            </w:r>
          </w:p>
        </w:tc>
        <w:tc>
          <w:tcPr>
            <w:tcW w:w="1980" w:type="dxa"/>
          </w:tcPr>
          <w:p w14:paraId="3A1686C7" w14:textId="23908DA1" w:rsidR="000540B3" w:rsidRPr="000540B3" w:rsidRDefault="000540B3" w:rsidP="003A6C5D">
            <w:pPr>
              <w:pStyle w:val="BodyText2"/>
              <w:tabs>
                <w:tab w:val="left" w:pos="5220"/>
              </w:tabs>
              <w:rPr>
                <w:b/>
                <w:sz w:val="22"/>
                <w:szCs w:val="22"/>
              </w:rPr>
            </w:pPr>
            <w:r w:rsidRPr="000540B3">
              <w:rPr>
                <w:b/>
                <w:sz w:val="22"/>
                <w:szCs w:val="22"/>
              </w:rPr>
              <w:t>Class C Shares</w:t>
            </w:r>
          </w:p>
        </w:tc>
        <w:tc>
          <w:tcPr>
            <w:tcW w:w="1980" w:type="dxa"/>
          </w:tcPr>
          <w:p w14:paraId="09ADB6FC" w14:textId="77777777" w:rsidR="000540B3" w:rsidRPr="000540B3" w:rsidRDefault="000540B3" w:rsidP="003A6C5D">
            <w:pPr>
              <w:pStyle w:val="BodyText2"/>
              <w:tabs>
                <w:tab w:val="left" w:pos="5220"/>
              </w:tabs>
              <w:rPr>
                <w:b/>
                <w:sz w:val="22"/>
                <w:szCs w:val="22"/>
              </w:rPr>
            </w:pPr>
            <w:r w:rsidRPr="000540B3">
              <w:rPr>
                <w:b/>
                <w:sz w:val="22"/>
                <w:szCs w:val="22"/>
              </w:rPr>
              <w:t>Class 1</w:t>
            </w:r>
          </w:p>
          <w:p w14:paraId="6851A4C1" w14:textId="77777777" w:rsidR="000540B3" w:rsidRPr="000540B3" w:rsidRDefault="000540B3" w:rsidP="003A6C5D">
            <w:pPr>
              <w:pStyle w:val="BodyText2"/>
              <w:tabs>
                <w:tab w:val="left" w:pos="5220"/>
              </w:tabs>
              <w:rPr>
                <w:sz w:val="22"/>
                <w:szCs w:val="22"/>
              </w:rPr>
            </w:pPr>
            <w:r w:rsidRPr="000540B3">
              <w:rPr>
                <w:b/>
                <w:sz w:val="22"/>
                <w:szCs w:val="22"/>
              </w:rPr>
              <w:t>Ordinary Shares</w:t>
            </w:r>
          </w:p>
        </w:tc>
      </w:tr>
      <w:tr w:rsidR="000540B3" w:rsidRPr="000540B3" w14:paraId="0E4A35FD" w14:textId="77777777" w:rsidTr="000540B3">
        <w:tc>
          <w:tcPr>
            <w:tcW w:w="4644" w:type="dxa"/>
          </w:tcPr>
          <w:p w14:paraId="3C24D9A0" w14:textId="77777777" w:rsidR="000540B3" w:rsidRPr="000540B3" w:rsidRDefault="000540B3" w:rsidP="003A6C5D">
            <w:pPr>
              <w:pStyle w:val="BodyText2"/>
              <w:tabs>
                <w:tab w:val="left" w:pos="5220"/>
              </w:tabs>
              <w:rPr>
                <w:sz w:val="22"/>
                <w:szCs w:val="22"/>
              </w:rPr>
            </w:pPr>
          </w:p>
        </w:tc>
        <w:tc>
          <w:tcPr>
            <w:tcW w:w="2034" w:type="dxa"/>
          </w:tcPr>
          <w:p w14:paraId="6CBD9F4C" w14:textId="77777777" w:rsidR="000540B3" w:rsidRPr="000540B3" w:rsidRDefault="000540B3" w:rsidP="003A6C5D">
            <w:pPr>
              <w:pStyle w:val="BodyText2"/>
              <w:tabs>
                <w:tab w:val="left" w:pos="5220"/>
              </w:tabs>
              <w:rPr>
                <w:sz w:val="22"/>
                <w:szCs w:val="22"/>
              </w:rPr>
            </w:pPr>
          </w:p>
        </w:tc>
        <w:tc>
          <w:tcPr>
            <w:tcW w:w="1980" w:type="dxa"/>
          </w:tcPr>
          <w:p w14:paraId="05615FE8" w14:textId="77777777" w:rsidR="000540B3" w:rsidRPr="000540B3" w:rsidRDefault="000540B3" w:rsidP="003A6C5D">
            <w:pPr>
              <w:pStyle w:val="BodyText2"/>
              <w:tabs>
                <w:tab w:val="left" w:pos="5220"/>
              </w:tabs>
              <w:rPr>
                <w:sz w:val="22"/>
                <w:szCs w:val="22"/>
              </w:rPr>
            </w:pPr>
          </w:p>
        </w:tc>
        <w:tc>
          <w:tcPr>
            <w:tcW w:w="1980" w:type="dxa"/>
          </w:tcPr>
          <w:p w14:paraId="41950E16" w14:textId="0D3D57E3" w:rsidR="000540B3" w:rsidRPr="000540B3" w:rsidRDefault="000540B3" w:rsidP="003A6C5D">
            <w:pPr>
              <w:pStyle w:val="BodyText2"/>
              <w:tabs>
                <w:tab w:val="left" w:pos="5220"/>
              </w:tabs>
              <w:rPr>
                <w:sz w:val="22"/>
                <w:szCs w:val="22"/>
              </w:rPr>
            </w:pPr>
          </w:p>
        </w:tc>
      </w:tr>
      <w:tr w:rsidR="000540B3" w:rsidRPr="000540B3" w14:paraId="01203BD1" w14:textId="77777777" w:rsidTr="000540B3">
        <w:tc>
          <w:tcPr>
            <w:tcW w:w="4644" w:type="dxa"/>
          </w:tcPr>
          <w:p w14:paraId="5005F623" w14:textId="77777777" w:rsidR="000540B3" w:rsidRPr="000540B3" w:rsidRDefault="000540B3" w:rsidP="003A6C5D">
            <w:pPr>
              <w:pStyle w:val="BodyText2"/>
              <w:tabs>
                <w:tab w:val="left" w:pos="5220"/>
              </w:tabs>
              <w:rPr>
                <w:sz w:val="22"/>
                <w:szCs w:val="22"/>
              </w:rPr>
            </w:pPr>
            <w:r w:rsidRPr="000540B3">
              <w:rPr>
                <w:sz w:val="22"/>
                <w:szCs w:val="22"/>
              </w:rPr>
              <w:t>Per Share operating performance</w:t>
            </w:r>
          </w:p>
        </w:tc>
        <w:tc>
          <w:tcPr>
            <w:tcW w:w="2034" w:type="dxa"/>
          </w:tcPr>
          <w:p w14:paraId="0FC084A5" w14:textId="77777777" w:rsidR="000540B3" w:rsidRPr="000540B3" w:rsidRDefault="000540B3" w:rsidP="003A6C5D">
            <w:pPr>
              <w:pStyle w:val="BodyText2"/>
              <w:tabs>
                <w:tab w:val="left" w:pos="5220"/>
              </w:tabs>
              <w:rPr>
                <w:sz w:val="22"/>
                <w:szCs w:val="22"/>
              </w:rPr>
            </w:pPr>
          </w:p>
        </w:tc>
        <w:tc>
          <w:tcPr>
            <w:tcW w:w="1980" w:type="dxa"/>
          </w:tcPr>
          <w:p w14:paraId="05DF282F" w14:textId="77777777" w:rsidR="000540B3" w:rsidRPr="000540B3" w:rsidRDefault="000540B3" w:rsidP="003A6C5D">
            <w:pPr>
              <w:pStyle w:val="BodyText2"/>
              <w:tabs>
                <w:tab w:val="left" w:pos="5220"/>
              </w:tabs>
              <w:rPr>
                <w:sz w:val="22"/>
                <w:szCs w:val="22"/>
              </w:rPr>
            </w:pPr>
          </w:p>
        </w:tc>
        <w:tc>
          <w:tcPr>
            <w:tcW w:w="1980" w:type="dxa"/>
          </w:tcPr>
          <w:p w14:paraId="67AD5EF1" w14:textId="03A902DA" w:rsidR="000540B3" w:rsidRPr="000540B3" w:rsidRDefault="000540B3" w:rsidP="003A6C5D">
            <w:pPr>
              <w:pStyle w:val="BodyText2"/>
              <w:tabs>
                <w:tab w:val="left" w:pos="5220"/>
              </w:tabs>
              <w:rPr>
                <w:sz w:val="22"/>
                <w:szCs w:val="22"/>
              </w:rPr>
            </w:pPr>
          </w:p>
        </w:tc>
      </w:tr>
      <w:tr w:rsidR="000540B3" w:rsidRPr="000540B3" w14:paraId="3AACE55D" w14:textId="77777777" w:rsidTr="000540B3">
        <w:tc>
          <w:tcPr>
            <w:tcW w:w="4644" w:type="dxa"/>
          </w:tcPr>
          <w:p w14:paraId="4CA3627E" w14:textId="77777777" w:rsidR="000540B3" w:rsidRPr="000540B3" w:rsidRDefault="000540B3" w:rsidP="003A6C5D">
            <w:pPr>
              <w:pStyle w:val="BodyText2"/>
              <w:tabs>
                <w:tab w:val="left" w:pos="5220"/>
              </w:tabs>
              <w:rPr>
                <w:sz w:val="22"/>
                <w:szCs w:val="22"/>
              </w:rPr>
            </w:pPr>
          </w:p>
        </w:tc>
        <w:tc>
          <w:tcPr>
            <w:tcW w:w="2034" w:type="dxa"/>
          </w:tcPr>
          <w:p w14:paraId="33066400" w14:textId="77777777" w:rsidR="000540B3" w:rsidRPr="000540B3" w:rsidRDefault="000540B3" w:rsidP="003A6C5D">
            <w:pPr>
              <w:pStyle w:val="BodyText2"/>
              <w:tabs>
                <w:tab w:val="left" w:pos="5220"/>
              </w:tabs>
              <w:rPr>
                <w:sz w:val="22"/>
                <w:szCs w:val="22"/>
              </w:rPr>
            </w:pPr>
          </w:p>
        </w:tc>
        <w:tc>
          <w:tcPr>
            <w:tcW w:w="1980" w:type="dxa"/>
          </w:tcPr>
          <w:p w14:paraId="1679874A" w14:textId="77777777" w:rsidR="000540B3" w:rsidRPr="000540B3" w:rsidRDefault="000540B3" w:rsidP="003A6C5D">
            <w:pPr>
              <w:pStyle w:val="BodyText2"/>
              <w:tabs>
                <w:tab w:val="left" w:pos="5220"/>
              </w:tabs>
              <w:rPr>
                <w:sz w:val="22"/>
                <w:szCs w:val="22"/>
              </w:rPr>
            </w:pPr>
          </w:p>
        </w:tc>
        <w:tc>
          <w:tcPr>
            <w:tcW w:w="1980" w:type="dxa"/>
          </w:tcPr>
          <w:p w14:paraId="17372C58" w14:textId="5D155562" w:rsidR="000540B3" w:rsidRPr="000540B3" w:rsidRDefault="000540B3" w:rsidP="003A6C5D">
            <w:pPr>
              <w:pStyle w:val="BodyText2"/>
              <w:tabs>
                <w:tab w:val="left" w:pos="5220"/>
              </w:tabs>
              <w:rPr>
                <w:sz w:val="22"/>
                <w:szCs w:val="22"/>
              </w:rPr>
            </w:pPr>
          </w:p>
        </w:tc>
      </w:tr>
      <w:tr w:rsidR="000540B3" w:rsidRPr="000540B3" w14:paraId="78400EEB" w14:textId="77777777" w:rsidTr="000540B3">
        <w:tc>
          <w:tcPr>
            <w:tcW w:w="4644" w:type="dxa"/>
          </w:tcPr>
          <w:p w14:paraId="15E7FFDF" w14:textId="77777777" w:rsidR="000540B3" w:rsidRPr="000540B3" w:rsidRDefault="000540B3">
            <w:pPr>
              <w:pStyle w:val="BodyText2"/>
              <w:tabs>
                <w:tab w:val="left" w:pos="5220"/>
              </w:tabs>
              <w:ind w:left="720"/>
              <w:rPr>
                <w:sz w:val="22"/>
                <w:szCs w:val="22"/>
              </w:rPr>
            </w:pPr>
            <w:r w:rsidRPr="000540B3">
              <w:rPr>
                <w:sz w:val="22"/>
                <w:szCs w:val="22"/>
              </w:rPr>
              <w:t>Net Asset Value, beginning of year</w:t>
            </w:r>
          </w:p>
        </w:tc>
        <w:tc>
          <w:tcPr>
            <w:tcW w:w="2034" w:type="dxa"/>
          </w:tcPr>
          <w:p w14:paraId="004FD4C0" w14:textId="4A8FA275" w:rsidR="000540B3" w:rsidRPr="000540B3" w:rsidRDefault="000540B3" w:rsidP="003A6C5D">
            <w:pPr>
              <w:pStyle w:val="BodyText2"/>
              <w:tabs>
                <w:tab w:val="left" w:pos="5220"/>
              </w:tabs>
              <w:rPr>
                <w:sz w:val="22"/>
                <w:szCs w:val="22"/>
              </w:rPr>
            </w:pPr>
            <w:r w:rsidRPr="000540B3">
              <w:rPr>
                <w:sz w:val="22"/>
                <w:szCs w:val="22"/>
              </w:rPr>
              <w:t>$1.1981</w:t>
            </w:r>
          </w:p>
        </w:tc>
        <w:tc>
          <w:tcPr>
            <w:tcW w:w="1980" w:type="dxa"/>
          </w:tcPr>
          <w:p w14:paraId="15F2CC81" w14:textId="03583C32" w:rsidR="000540B3" w:rsidRPr="000540B3" w:rsidRDefault="000540B3" w:rsidP="00E014DD">
            <w:pPr>
              <w:pStyle w:val="BodyText2"/>
              <w:tabs>
                <w:tab w:val="left" w:pos="5220"/>
              </w:tabs>
              <w:rPr>
                <w:sz w:val="22"/>
                <w:szCs w:val="22"/>
              </w:rPr>
            </w:pPr>
            <w:r w:rsidRPr="000540B3">
              <w:rPr>
                <w:sz w:val="22"/>
                <w:szCs w:val="22"/>
              </w:rPr>
              <w:t>$1.0000</w:t>
            </w:r>
          </w:p>
        </w:tc>
        <w:tc>
          <w:tcPr>
            <w:tcW w:w="1980" w:type="dxa"/>
          </w:tcPr>
          <w:p w14:paraId="11A168D9" w14:textId="7BC4122F" w:rsidR="000540B3" w:rsidRPr="000540B3" w:rsidRDefault="000540B3" w:rsidP="00E014DD">
            <w:pPr>
              <w:pStyle w:val="BodyText2"/>
              <w:tabs>
                <w:tab w:val="left" w:pos="5220"/>
              </w:tabs>
              <w:rPr>
                <w:sz w:val="22"/>
                <w:szCs w:val="22"/>
              </w:rPr>
            </w:pPr>
            <w:r w:rsidRPr="000540B3">
              <w:rPr>
                <w:sz w:val="22"/>
                <w:szCs w:val="22"/>
              </w:rPr>
              <w:t>$1.1059</w:t>
            </w:r>
          </w:p>
        </w:tc>
      </w:tr>
      <w:tr w:rsidR="000540B3" w:rsidRPr="000540B3" w14:paraId="26931281" w14:textId="77777777" w:rsidTr="000540B3">
        <w:tc>
          <w:tcPr>
            <w:tcW w:w="4644" w:type="dxa"/>
          </w:tcPr>
          <w:p w14:paraId="4C893D85" w14:textId="77777777" w:rsidR="000540B3" w:rsidRPr="000540B3" w:rsidRDefault="000540B3" w:rsidP="003A6C5D">
            <w:pPr>
              <w:pStyle w:val="BodyText2"/>
              <w:tabs>
                <w:tab w:val="left" w:pos="5220"/>
              </w:tabs>
              <w:rPr>
                <w:sz w:val="22"/>
                <w:szCs w:val="22"/>
              </w:rPr>
            </w:pPr>
          </w:p>
        </w:tc>
        <w:tc>
          <w:tcPr>
            <w:tcW w:w="2034" w:type="dxa"/>
          </w:tcPr>
          <w:p w14:paraId="4809F5CD" w14:textId="77777777" w:rsidR="000540B3" w:rsidRPr="000540B3" w:rsidRDefault="000540B3" w:rsidP="003A6C5D">
            <w:pPr>
              <w:pStyle w:val="BodyText2"/>
              <w:tabs>
                <w:tab w:val="left" w:pos="5220"/>
              </w:tabs>
              <w:rPr>
                <w:sz w:val="22"/>
                <w:szCs w:val="22"/>
              </w:rPr>
            </w:pPr>
          </w:p>
        </w:tc>
        <w:tc>
          <w:tcPr>
            <w:tcW w:w="1980" w:type="dxa"/>
          </w:tcPr>
          <w:p w14:paraId="69CB9103" w14:textId="77777777" w:rsidR="000540B3" w:rsidRPr="000540B3" w:rsidRDefault="000540B3" w:rsidP="00E014DD">
            <w:pPr>
              <w:pStyle w:val="BodyText2"/>
              <w:tabs>
                <w:tab w:val="left" w:pos="5220"/>
              </w:tabs>
              <w:rPr>
                <w:sz w:val="22"/>
                <w:szCs w:val="22"/>
              </w:rPr>
            </w:pPr>
          </w:p>
        </w:tc>
        <w:tc>
          <w:tcPr>
            <w:tcW w:w="1980" w:type="dxa"/>
          </w:tcPr>
          <w:p w14:paraId="4127952F" w14:textId="1E9C35E0" w:rsidR="000540B3" w:rsidRPr="000540B3" w:rsidRDefault="000540B3" w:rsidP="00E014DD">
            <w:pPr>
              <w:pStyle w:val="BodyText2"/>
              <w:tabs>
                <w:tab w:val="left" w:pos="5220"/>
              </w:tabs>
              <w:rPr>
                <w:sz w:val="22"/>
                <w:szCs w:val="22"/>
              </w:rPr>
            </w:pPr>
          </w:p>
        </w:tc>
      </w:tr>
      <w:tr w:rsidR="000540B3" w:rsidRPr="000540B3" w14:paraId="418D7E99" w14:textId="77777777" w:rsidTr="000540B3">
        <w:tc>
          <w:tcPr>
            <w:tcW w:w="4644" w:type="dxa"/>
          </w:tcPr>
          <w:p w14:paraId="73399DF3" w14:textId="77777777" w:rsidR="000540B3" w:rsidRPr="000540B3" w:rsidRDefault="000540B3" w:rsidP="003A6C5D">
            <w:pPr>
              <w:pStyle w:val="BodyText2"/>
              <w:tabs>
                <w:tab w:val="left" w:pos="5220"/>
              </w:tabs>
              <w:rPr>
                <w:sz w:val="22"/>
                <w:szCs w:val="22"/>
              </w:rPr>
            </w:pPr>
            <w:r w:rsidRPr="000540B3">
              <w:rPr>
                <w:sz w:val="22"/>
                <w:szCs w:val="22"/>
              </w:rPr>
              <w:t>Income (loss) from investment operations:</w:t>
            </w:r>
          </w:p>
        </w:tc>
        <w:tc>
          <w:tcPr>
            <w:tcW w:w="2034" w:type="dxa"/>
          </w:tcPr>
          <w:p w14:paraId="046D713C" w14:textId="77777777" w:rsidR="000540B3" w:rsidRPr="000540B3" w:rsidRDefault="000540B3" w:rsidP="003A6C5D">
            <w:pPr>
              <w:pStyle w:val="BodyText2"/>
              <w:tabs>
                <w:tab w:val="left" w:pos="5220"/>
              </w:tabs>
              <w:rPr>
                <w:sz w:val="22"/>
                <w:szCs w:val="22"/>
              </w:rPr>
            </w:pPr>
          </w:p>
        </w:tc>
        <w:tc>
          <w:tcPr>
            <w:tcW w:w="1980" w:type="dxa"/>
          </w:tcPr>
          <w:p w14:paraId="771438BE" w14:textId="77777777" w:rsidR="000540B3" w:rsidRPr="000540B3" w:rsidRDefault="000540B3" w:rsidP="00E014DD">
            <w:pPr>
              <w:pStyle w:val="BodyText2"/>
              <w:tabs>
                <w:tab w:val="left" w:pos="5220"/>
              </w:tabs>
              <w:rPr>
                <w:sz w:val="22"/>
                <w:szCs w:val="22"/>
              </w:rPr>
            </w:pPr>
          </w:p>
        </w:tc>
        <w:tc>
          <w:tcPr>
            <w:tcW w:w="1980" w:type="dxa"/>
          </w:tcPr>
          <w:p w14:paraId="759DCB4F" w14:textId="41871A99" w:rsidR="000540B3" w:rsidRPr="000540B3" w:rsidRDefault="000540B3" w:rsidP="00E014DD">
            <w:pPr>
              <w:pStyle w:val="BodyText2"/>
              <w:tabs>
                <w:tab w:val="left" w:pos="5220"/>
              </w:tabs>
              <w:rPr>
                <w:sz w:val="22"/>
                <w:szCs w:val="22"/>
              </w:rPr>
            </w:pPr>
          </w:p>
        </w:tc>
      </w:tr>
      <w:tr w:rsidR="000540B3" w:rsidRPr="000540B3" w14:paraId="673BBD45" w14:textId="77777777" w:rsidTr="000540B3">
        <w:tc>
          <w:tcPr>
            <w:tcW w:w="4644" w:type="dxa"/>
          </w:tcPr>
          <w:p w14:paraId="6C3E98CF" w14:textId="77777777" w:rsidR="000540B3" w:rsidRPr="000540B3" w:rsidRDefault="000540B3" w:rsidP="003A6C5D">
            <w:pPr>
              <w:pStyle w:val="BodyText2"/>
              <w:tabs>
                <w:tab w:val="left" w:pos="5220"/>
              </w:tabs>
              <w:rPr>
                <w:sz w:val="22"/>
                <w:szCs w:val="22"/>
              </w:rPr>
            </w:pPr>
          </w:p>
        </w:tc>
        <w:tc>
          <w:tcPr>
            <w:tcW w:w="2034" w:type="dxa"/>
          </w:tcPr>
          <w:p w14:paraId="38792640" w14:textId="77777777" w:rsidR="000540B3" w:rsidRPr="000540B3" w:rsidRDefault="000540B3" w:rsidP="003A6C5D">
            <w:pPr>
              <w:pStyle w:val="BodyText2"/>
              <w:tabs>
                <w:tab w:val="left" w:pos="5220"/>
              </w:tabs>
              <w:rPr>
                <w:sz w:val="22"/>
                <w:szCs w:val="22"/>
              </w:rPr>
            </w:pPr>
          </w:p>
        </w:tc>
        <w:tc>
          <w:tcPr>
            <w:tcW w:w="1980" w:type="dxa"/>
          </w:tcPr>
          <w:p w14:paraId="5634A5BB" w14:textId="77777777" w:rsidR="000540B3" w:rsidRPr="000540B3" w:rsidRDefault="000540B3" w:rsidP="00E014DD">
            <w:pPr>
              <w:pStyle w:val="BodyText2"/>
              <w:tabs>
                <w:tab w:val="left" w:pos="5220"/>
              </w:tabs>
              <w:rPr>
                <w:sz w:val="22"/>
                <w:szCs w:val="22"/>
              </w:rPr>
            </w:pPr>
          </w:p>
        </w:tc>
        <w:tc>
          <w:tcPr>
            <w:tcW w:w="1980" w:type="dxa"/>
          </w:tcPr>
          <w:p w14:paraId="1ABD3234" w14:textId="5DD1D712" w:rsidR="000540B3" w:rsidRPr="000540B3" w:rsidRDefault="000540B3" w:rsidP="00E014DD">
            <w:pPr>
              <w:pStyle w:val="BodyText2"/>
              <w:tabs>
                <w:tab w:val="left" w:pos="5220"/>
              </w:tabs>
              <w:rPr>
                <w:sz w:val="22"/>
                <w:szCs w:val="22"/>
              </w:rPr>
            </w:pPr>
          </w:p>
        </w:tc>
      </w:tr>
      <w:tr w:rsidR="000540B3" w:rsidRPr="000540B3" w14:paraId="2CD14D64" w14:textId="77777777" w:rsidTr="000540B3">
        <w:tc>
          <w:tcPr>
            <w:tcW w:w="4644" w:type="dxa"/>
          </w:tcPr>
          <w:p w14:paraId="79D8EBBC" w14:textId="77777777" w:rsidR="000540B3" w:rsidRPr="000540B3" w:rsidRDefault="000540B3" w:rsidP="003A6C5D">
            <w:pPr>
              <w:pStyle w:val="BodyText2"/>
              <w:tabs>
                <w:tab w:val="left" w:pos="5220"/>
              </w:tabs>
              <w:ind w:left="720"/>
              <w:rPr>
                <w:sz w:val="22"/>
                <w:szCs w:val="22"/>
              </w:rPr>
            </w:pPr>
            <w:r w:rsidRPr="000540B3">
              <w:rPr>
                <w:sz w:val="22"/>
                <w:szCs w:val="22"/>
              </w:rPr>
              <w:t>Net investment loss</w:t>
            </w:r>
          </w:p>
        </w:tc>
        <w:tc>
          <w:tcPr>
            <w:tcW w:w="2034" w:type="dxa"/>
          </w:tcPr>
          <w:p w14:paraId="11D88C2D" w14:textId="45662BC0" w:rsidR="000540B3" w:rsidRPr="000540B3" w:rsidRDefault="000540B3" w:rsidP="003A6C5D">
            <w:pPr>
              <w:pStyle w:val="BodyText2"/>
              <w:tabs>
                <w:tab w:val="left" w:pos="5220"/>
              </w:tabs>
              <w:rPr>
                <w:sz w:val="22"/>
                <w:szCs w:val="22"/>
              </w:rPr>
            </w:pPr>
            <w:r w:rsidRPr="000540B3">
              <w:rPr>
                <w:sz w:val="22"/>
                <w:szCs w:val="22"/>
              </w:rPr>
              <w:t>(0.0127)</w:t>
            </w:r>
          </w:p>
        </w:tc>
        <w:tc>
          <w:tcPr>
            <w:tcW w:w="1980" w:type="dxa"/>
          </w:tcPr>
          <w:p w14:paraId="31107B71" w14:textId="2DCCAD6D" w:rsidR="000540B3" w:rsidRPr="000540B3" w:rsidRDefault="00C65DEE" w:rsidP="00E014DD">
            <w:pPr>
              <w:pStyle w:val="BodyText2"/>
              <w:tabs>
                <w:tab w:val="left" w:pos="5220"/>
              </w:tabs>
              <w:rPr>
                <w:sz w:val="22"/>
                <w:szCs w:val="22"/>
              </w:rPr>
            </w:pPr>
            <w:r>
              <w:rPr>
                <w:sz w:val="22"/>
                <w:szCs w:val="22"/>
              </w:rPr>
              <w:t>-</w:t>
            </w:r>
          </w:p>
        </w:tc>
        <w:tc>
          <w:tcPr>
            <w:tcW w:w="1980" w:type="dxa"/>
          </w:tcPr>
          <w:p w14:paraId="3B865E02" w14:textId="54222982" w:rsidR="000540B3" w:rsidRPr="000540B3" w:rsidRDefault="000540B3" w:rsidP="00E014DD">
            <w:pPr>
              <w:pStyle w:val="BodyText2"/>
              <w:tabs>
                <w:tab w:val="left" w:pos="5220"/>
              </w:tabs>
              <w:rPr>
                <w:sz w:val="22"/>
                <w:szCs w:val="22"/>
              </w:rPr>
            </w:pPr>
            <w:r w:rsidRPr="000540B3">
              <w:rPr>
                <w:sz w:val="22"/>
                <w:szCs w:val="22"/>
              </w:rPr>
              <w:t>(0.0058)</w:t>
            </w:r>
          </w:p>
        </w:tc>
      </w:tr>
      <w:tr w:rsidR="000540B3" w:rsidRPr="000540B3" w14:paraId="288B6923" w14:textId="77777777" w:rsidTr="000540B3">
        <w:tc>
          <w:tcPr>
            <w:tcW w:w="4644" w:type="dxa"/>
          </w:tcPr>
          <w:p w14:paraId="7492C6EC" w14:textId="77777777" w:rsidR="000540B3" w:rsidRPr="000540B3" w:rsidRDefault="000540B3" w:rsidP="003A6C5D">
            <w:pPr>
              <w:pStyle w:val="BodyText2"/>
              <w:tabs>
                <w:tab w:val="left" w:pos="5220"/>
              </w:tabs>
              <w:ind w:left="720"/>
              <w:rPr>
                <w:sz w:val="22"/>
                <w:szCs w:val="22"/>
              </w:rPr>
            </w:pPr>
            <w:r w:rsidRPr="000540B3">
              <w:rPr>
                <w:sz w:val="22"/>
                <w:szCs w:val="22"/>
              </w:rPr>
              <w:t>Performance Fee*</w:t>
            </w:r>
          </w:p>
        </w:tc>
        <w:tc>
          <w:tcPr>
            <w:tcW w:w="2034" w:type="dxa"/>
          </w:tcPr>
          <w:p w14:paraId="3DE64485" w14:textId="34659E33" w:rsidR="000540B3" w:rsidRPr="000540B3" w:rsidRDefault="000540B3" w:rsidP="003A6C5D">
            <w:pPr>
              <w:pStyle w:val="BodyText2"/>
              <w:tabs>
                <w:tab w:val="left" w:pos="5220"/>
              </w:tabs>
              <w:rPr>
                <w:sz w:val="22"/>
                <w:szCs w:val="22"/>
              </w:rPr>
            </w:pPr>
            <w:r w:rsidRPr="000540B3">
              <w:rPr>
                <w:sz w:val="22"/>
                <w:szCs w:val="22"/>
              </w:rPr>
              <w:t>(0.0156)</w:t>
            </w:r>
          </w:p>
        </w:tc>
        <w:tc>
          <w:tcPr>
            <w:tcW w:w="1980" w:type="dxa"/>
          </w:tcPr>
          <w:p w14:paraId="537679C5" w14:textId="2025F27C" w:rsidR="000540B3" w:rsidRPr="000540B3" w:rsidRDefault="00C65DEE" w:rsidP="00E014DD">
            <w:pPr>
              <w:pStyle w:val="BodyText2"/>
              <w:tabs>
                <w:tab w:val="left" w:pos="5220"/>
              </w:tabs>
              <w:rPr>
                <w:sz w:val="22"/>
                <w:szCs w:val="22"/>
              </w:rPr>
            </w:pPr>
            <w:r>
              <w:rPr>
                <w:sz w:val="22"/>
                <w:szCs w:val="22"/>
              </w:rPr>
              <w:t>-</w:t>
            </w:r>
          </w:p>
        </w:tc>
        <w:tc>
          <w:tcPr>
            <w:tcW w:w="1980" w:type="dxa"/>
          </w:tcPr>
          <w:p w14:paraId="45DF74AA" w14:textId="232F9112" w:rsidR="000540B3" w:rsidRPr="000540B3" w:rsidRDefault="000540B3" w:rsidP="00E014DD">
            <w:pPr>
              <w:pStyle w:val="BodyText2"/>
              <w:tabs>
                <w:tab w:val="left" w:pos="5220"/>
              </w:tabs>
              <w:rPr>
                <w:sz w:val="22"/>
                <w:szCs w:val="22"/>
              </w:rPr>
            </w:pPr>
            <w:r w:rsidRPr="000540B3">
              <w:rPr>
                <w:sz w:val="22"/>
                <w:szCs w:val="22"/>
              </w:rPr>
              <w:t>(0.0167)</w:t>
            </w:r>
          </w:p>
        </w:tc>
      </w:tr>
      <w:tr w:rsidR="000540B3" w:rsidRPr="000540B3" w14:paraId="6FAD2364" w14:textId="77777777" w:rsidTr="000540B3">
        <w:tc>
          <w:tcPr>
            <w:tcW w:w="4644" w:type="dxa"/>
          </w:tcPr>
          <w:p w14:paraId="074D3338" w14:textId="77777777" w:rsidR="000540B3" w:rsidRPr="000540B3" w:rsidRDefault="000540B3" w:rsidP="003A6C5D">
            <w:pPr>
              <w:pStyle w:val="BodyText2"/>
              <w:tabs>
                <w:tab w:val="left" w:pos="5220"/>
              </w:tabs>
              <w:ind w:left="720"/>
              <w:rPr>
                <w:sz w:val="22"/>
                <w:szCs w:val="22"/>
              </w:rPr>
            </w:pPr>
            <w:r w:rsidRPr="000540B3">
              <w:rPr>
                <w:sz w:val="22"/>
                <w:szCs w:val="22"/>
              </w:rPr>
              <w:t>Management Fee</w:t>
            </w:r>
          </w:p>
        </w:tc>
        <w:tc>
          <w:tcPr>
            <w:tcW w:w="2034" w:type="dxa"/>
          </w:tcPr>
          <w:p w14:paraId="37B2941B" w14:textId="3C5B2652" w:rsidR="000540B3" w:rsidRPr="000540B3" w:rsidRDefault="000540B3" w:rsidP="003A6C5D">
            <w:pPr>
              <w:pStyle w:val="BodyText2"/>
              <w:tabs>
                <w:tab w:val="left" w:pos="5220"/>
              </w:tabs>
              <w:rPr>
                <w:sz w:val="22"/>
                <w:szCs w:val="22"/>
              </w:rPr>
            </w:pPr>
            <w:r w:rsidRPr="000540B3">
              <w:rPr>
                <w:sz w:val="22"/>
                <w:szCs w:val="22"/>
              </w:rPr>
              <w:t>(0.0183)</w:t>
            </w:r>
          </w:p>
        </w:tc>
        <w:tc>
          <w:tcPr>
            <w:tcW w:w="1980" w:type="dxa"/>
          </w:tcPr>
          <w:p w14:paraId="0C92AD53" w14:textId="6AD44840" w:rsidR="000540B3" w:rsidRPr="000540B3" w:rsidRDefault="00C65DEE" w:rsidP="00E014DD">
            <w:pPr>
              <w:pStyle w:val="BodyText2"/>
              <w:tabs>
                <w:tab w:val="left" w:pos="5220"/>
              </w:tabs>
              <w:rPr>
                <w:sz w:val="22"/>
                <w:szCs w:val="22"/>
              </w:rPr>
            </w:pPr>
            <w:r>
              <w:rPr>
                <w:sz w:val="22"/>
                <w:szCs w:val="22"/>
              </w:rPr>
              <w:t>-</w:t>
            </w:r>
          </w:p>
        </w:tc>
        <w:tc>
          <w:tcPr>
            <w:tcW w:w="1980" w:type="dxa"/>
          </w:tcPr>
          <w:p w14:paraId="58E8A274" w14:textId="289C3631" w:rsidR="000540B3" w:rsidRPr="000540B3" w:rsidRDefault="000540B3" w:rsidP="00E014DD">
            <w:pPr>
              <w:pStyle w:val="BodyText2"/>
              <w:tabs>
                <w:tab w:val="left" w:pos="5220"/>
              </w:tabs>
              <w:rPr>
                <w:sz w:val="22"/>
                <w:szCs w:val="22"/>
              </w:rPr>
            </w:pPr>
            <w:r w:rsidRPr="000540B3">
              <w:rPr>
                <w:sz w:val="22"/>
                <w:szCs w:val="22"/>
              </w:rPr>
              <w:t>(0.0168)</w:t>
            </w:r>
          </w:p>
        </w:tc>
      </w:tr>
      <w:tr w:rsidR="000540B3" w:rsidRPr="000540B3" w14:paraId="46183E8E" w14:textId="77777777" w:rsidTr="000540B3">
        <w:tc>
          <w:tcPr>
            <w:tcW w:w="4644" w:type="dxa"/>
          </w:tcPr>
          <w:p w14:paraId="603398B4" w14:textId="77777777" w:rsidR="000540B3" w:rsidRPr="007810C1" w:rsidRDefault="000540B3" w:rsidP="003A6C5D">
            <w:pPr>
              <w:pStyle w:val="BodyText2"/>
              <w:tabs>
                <w:tab w:val="left" w:pos="5220"/>
              </w:tabs>
              <w:ind w:left="720"/>
              <w:rPr>
                <w:sz w:val="22"/>
                <w:szCs w:val="22"/>
              </w:rPr>
            </w:pPr>
            <w:r w:rsidRPr="007810C1">
              <w:rPr>
                <w:sz w:val="22"/>
                <w:szCs w:val="22"/>
              </w:rPr>
              <w:t>Net gain on investments</w:t>
            </w:r>
          </w:p>
        </w:tc>
        <w:tc>
          <w:tcPr>
            <w:tcW w:w="2034" w:type="dxa"/>
          </w:tcPr>
          <w:p w14:paraId="36762874" w14:textId="065C8B16" w:rsidR="000540B3" w:rsidRPr="007810C1" w:rsidRDefault="000540B3" w:rsidP="003A6C5D">
            <w:pPr>
              <w:pStyle w:val="BodyText2"/>
              <w:tabs>
                <w:tab w:val="left" w:pos="5220"/>
              </w:tabs>
              <w:rPr>
                <w:sz w:val="22"/>
                <w:szCs w:val="22"/>
              </w:rPr>
            </w:pPr>
            <w:r w:rsidRPr="007810C1">
              <w:rPr>
                <w:sz w:val="22"/>
                <w:szCs w:val="22"/>
              </w:rPr>
              <w:t xml:space="preserve"> 0.1783</w:t>
            </w:r>
          </w:p>
        </w:tc>
        <w:tc>
          <w:tcPr>
            <w:tcW w:w="1980" w:type="dxa"/>
          </w:tcPr>
          <w:p w14:paraId="6A1F37DE" w14:textId="6CE4AAD8" w:rsidR="000540B3" w:rsidRPr="007810C1" w:rsidRDefault="00C65DEE" w:rsidP="00E014DD">
            <w:pPr>
              <w:pStyle w:val="BodyText2"/>
              <w:tabs>
                <w:tab w:val="left" w:pos="5220"/>
              </w:tabs>
              <w:rPr>
                <w:sz w:val="22"/>
                <w:szCs w:val="22"/>
              </w:rPr>
            </w:pPr>
            <w:r>
              <w:rPr>
                <w:sz w:val="22"/>
                <w:szCs w:val="22"/>
              </w:rPr>
              <w:t>-</w:t>
            </w:r>
          </w:p>
        </w:tc>
        <w:tc>
          <w:tcPr>
            <w:tcW w:w="1980" w:type="dxa"/>
          </w:tcPr>
          <w:p w14:paraId="6DFAB5AA" w14:textId="700F2637" w:rsidR="000540B3" w:rsidRPr="007810C1" w:rsidRDefault="000540B3" w:rsidP="00E014DD">
            <w:pPr>
              <w:pStyle w:val="BodyText2"/>
              <w:tabs>
                <w:tab w:val="left" w:pos="5220"/>
              </w:tabs>
              <w:rPr>
                <w:sz w:val="22"/>
                <w:szCs w:val="22"/>
              </w:rPr>
            </w:pPr>
            <w:r w:rsidRPr="007810C1">
              <w:rPr>
                <w:sz w:val="22"/>
                <w:szCs w:val="22"/>
              </w:rPr>
              <w:t xml:space="preserve"> 0.1889</w:t>
            </w:r>
          </w:p>
        </w:tc>
      </w:tr>
      <w:tr w:rsidR="000540B3" w:rsidRPr="00D25DF8" w14:paraId="450A1D73" w14:textId="77777777" w:rsidTr="000540B3">
        <w:tc>
          <w:tcPr>
            <w:tcW w:w="4644" w:type="dxa"/>
          </w:tcPr>
          <w:p w14:paraId="2B24BAE8" w14:textId="77777777" w:rsidR="000540B3" w:rsidRPr="007810C1" w:rsidRDefault="000540B3" w:rsidP="003A6C5D">
            <w:pPr>
              <w:pStyle w:val="BodyText2"/>
              <w:tabs>
                <w:tab w:val="left" w:pos="5220"/>
              </w:tabs>
              <w:ind w:left="720"/>
              <w:rPr>
                <w:sz w:val="22"/>
                <w:szCs w:val="22"/>
                <w:u w:val="single"/>
              </w:rPr>
            </w:pPr>
          </w:p>
        </w:tc>
        <w:tc>
          <w:tcPr>
            <w:tcW w:w="2034" w:type="dxa"/>
          </w:tcPr>
          <w:p w14:paraId="3B2330A5" w14:textId="77777777" w:rsidR="000540B3" w:rsidRPr="007810C1" w:rsidRDefault="000540B3" w:rsidP="003A6C5D">
            <w:pPr>
              <w:pStyle w:val="BodyText2"/>
              <w:tabs>
                <w:tab w:val="left" w:pos="5220"/>
              </w:tabs>
              <w:rPr>
                <w:sz w:val="22"/>
                <w:szCs w:val="22"/>
                <w:u w:val="single"/>
              </w:rPr>
            </w:pPr>
          </w:p>
        </w:tc>
        <w:tc>
          <w:tcPr>
            <w:tcW w:w="1980" w:type="dxa"/>
          </w:tcPr>
          <w:p w14:paraId="3DF83979" w14:textId="77777777" w:rsidR="000540B3" w:rsidRPr="007810C1" w:rsidRDefault="000540B3" w:rsidP="00E014DD">
            <w:pPr>
              <w:pStyle w:val="BodyText2"/>
              <w:tabs>
                <w:tab w:val="left" w:pos="5220"/>
              </w:tabs>
              <w:rPr>
                <w:sz w:val="22"/>
                <w:szCs w:val="22"/>
                <w:u w:val="single"/>
              </w:rPr>
            </w:pPr>
          </w:p>
        </w:tc>
        <w:tc>
          <w:tcPr>
            <w:tcW w:w="1980" w:type="dxa"/>
          </w:tcPr>
          <w:p w14:paraId="500E0607" w14:textId="4AAF3104" w:rsidR="000540B3" w:rsidRPr="007810C1" w:rsidRDefault="000540B3" w:rsidP="00E014DD">
            <w:pPr>
              <w:pStyle w:val="BodyText2"/>
              <w:tabs>
                <w:tab w:val="left" w:pos="5220"/>
              </w:tabs>
              <w:rPr>
                <w:sz w:val="22"/>
                <w:szCs w:val="22"/>
                <w:u w:val="single"/>
              </w:rPr>
            </w:pPr>
          </w:p>
        </w:tc>
      </w:tr>
      <w:tr w:rsidR="000540B3" w:rsidRPr="00D25DF8" w14:paraId="1B082C5B" w14:textId="77777777" w:rsidTr="000540B3">
        <w:tc>
          <w:tcPr>
            <w:tcW w:w="4644" w:type="dxa"/>
          </w:tcPr>
          <w:p w14:paraId="301895A0" w14:textId="77777777" w:rsidR="000540B3" w:rsidRPr="007810C1" w:rsidRDefault="000540B3" w:rsidP="003A6C5D">
            <w:pPr>
              <w:pStyle w:val="BodyText2"/>
              <w:tabs>
                <w:tab w:val="left" w:pos="5220"/>
              </w:tabs>
              <w:ind w:left="720"/>
              <w:rPr>
                <w:sz w:val="22"/>
                <w:szCs w:val="22"/>
              </w:rPr>
            </w:pPr>
          </w:p>
        </w:tc>
        <w:tc>
          <w:tcPr>
            <w:tcW w:w="2034" w:type="dxa"/>
          </w:tcPr>
          <w:p w14:paraId="3A30F497" w14:textId="77777777" w:rsidR="000540B3" w:rsidRPr="007810C1" w:rsidRDefault="000540B3" w:rsidP="003A6C5D">
            <w:pPr>
              <w:pStyle w:val="BodyText2"/>
              <w:tabs>
                <w:tab w:val="left" w:pos="5220"/>
              </w:tabs>
              <w:rPr>
                <w:sz w:val="22"/>
                <w:szCs w:val="22"/>
              </w:rPr>
            </w:pPr>
          </w:p>
        </w:tc>
        <w:tc>
          <w:tcPr>
            <w:tcW w:w="1980" w:type="dxa"/>
          </w:tcPr>
          <w:p w14:paraId="0123C2B7" w14:textId="77777777" w:rsidR="000540B3" w:rsidRPr="007810C1" w:rsidRDefault="000540B3" w:rsidP="00E014DD">
            <w:pPr>
              <w:pStyle w:val="BodyText2"/>
              <w:tabs>
                <w:tab w:val="left" w:pos="5220"/>
              </w:tabs>
              <w:rPr>
                <w:sz w:val="22"/>
                <w:szCs w:val="22"/>
              </w:rPr>
            </w:pPr>
          </w:p>
        </w:tc>
        <w:tc>
          <w:tcPr>
            <w:tcW w:w="1980" w:type="dxa"/>
          </w:tcPr>
          <w:p w14:paraId="03241A0E" w14:textId="76C1BAAF" w:rsidR="000540B3" w:rsidRPr="007810C1" w:rsidRDefault="000540B3" w:rsidP="00E014DD">
            <w:pPr>
              <w:pStyle w:val="BodyText2"/>
              <w:tabs>
                <w:tab w:val="left" w:pos="5220"/>
              </w:tabs>
              <w:rPr>
                <w:sz w:val="22"/>
                <w:szCs w:val="22"/>
              </w:rPr>
            </w:pPr>
          </w:p>
        </w:tc>
      </w:tr>
      <w:tr w:rsidR="000540B3" w:rsidRPr="00D25DF8" w14:paraId="10FFE008" w14:textId="77777777" w:rsidTr="000540B3">
        <w:tc>
          <w:tcPr>
            <w:tcW w:w="4644" w:type="dxa"/>
          </w:tcPr>
          <w:p w14:paraId="239A6B6A" w14:textId="77777777" w:rsidR="000540B3" w:rsidRPr="007810C1" w:rsidRDefault="000540B3" w:rsidP="003A6C5D">
            <w:pPr>
              <w:pStyle w:val="BodyText2"/>
              <w:tabs>
                <w:tab w:val="left" w:pos="5220"/>
              </w:tabs>
              <w:jc w:val="left"/>
              <w:rPr>
                <w:sz w:val="22"/>
                <w:szCs w:val="22"/>
              </w:rPr>
            </w:pPr>
            <w:r w:rsidRPr="007810C1">
              <w:rPr>
                <w:sz w:val="22"/>
                <w:szCs w:val="22"/>
              </w:rPr>
              <w:t>Total from investment operations</w:t>
            </w:r>
          </w:p>
        </w:tc>
        <w:tc>
          <w:tcPr>
            <w:tcW w:w="2034" w:type="dxa"/>
          </w:tcPr>
          <w:p w14:paraId="76178F81" w14:textId="263520F1" w:rsidR="000540B3" w:rsidRPr="007810C1" w:rsidRDefault="000540B3" w:rsidP="003A6C5D">
            <w:pPr>
              <w:pStyle w:val="BodyText2"/>
              <w:tabs>
                <w:tab w:val="left" w:pos="5220"/>
              </w:tabs>
              <w:rPr>
                <w:sz w:val="22"/>
                <w:szCs w:val="22"/>
              </w:rPr>
            </w:pPr>
            <w:r w:rsidRPr="007810C1">
              <w:rPr>
                <w:sz w:val="22"/>
                <w:szCs w:val="22"/>
              </w:rPr>
              <w:t>0.131</w:t>
            </w:r>
            <w:r w:rsidR="00B8738D">
              <w:rPr>
                <w:sz w:val="22"/>
                <w:szCs w:val="22"/>
              </w:rPr>
              <w:t>7</w:t>
            </w:r>
          </w:p>
        </w:tc>
        <w:tc>
          <w:tcPr>
            <w:tcW w:w="1980" w:type="dxa"/>
          </w:tcPr>
          <w:p w14:paraId="75982A17" w14:textId="1B7B1A61" w:rsidR="000540B3" w:rsidRPr="007810C1" w:rsidRDefault="00C65DEE" w:rsidP="00E014DD">
            <w:pPr>
              <w:pStyle w:val="BodyText2"/>
              <w:tabs>
                <w:tab w:val="left" w:pos="5220"/>
              </w:tabs>
              <w:rPr>
                <w:sz w:val="22"/>
                <w:szCs w:val="22"/>
              </w:rPr>
            </w:pPr>
            <w:r>
              <w:rPr>
                <w:sz w:val="22"/>
                <w:szCs w:val="22"/>
              </w:rPr>
              <w:t>-</w:t>
            </w:r>
          </w:p>
        </w:tc>
        <w:tc>
          <w:tcPr>
            <w:tcW w:w="1980" w:type="dxa"/>
          </w:tcPr>
          <w:p w14:paraId="00E94B71" w14:textId="793DCFD3" w:rsidR="000540B3" w:rsidRPr="007810C1" w:rsidRDefault="000540B3" w:rsidP="00E014DD">
            <w:pPr>
              <w:pStyle w:val="BodyText2"/>
              <w:tabs>
                <w:tab w:val="left" w:pos="5220"/>
              </w:tabs>
              <w:rPr>
                <w:sz w:val="22"/>
                <w:szCs w:val="22"/>
              </w:rPr>
            </w:pPr>
            <w:r w:rsidRPr="007810C1">
              <w:rPr>
                <w:sz w:val="22"/>
                <w:szCs w:val="22"/>
              </w:rPr>
              <w:t>0.1496</w:t>
            </w:r>
          </w:p>
        </w:tc>
      </w:tr>
      <w:tr w:rsidR="000540B3" w:rsidRPr="00D25DF8" w14:paraId="2C01D9B0" w14:textId="77777777" w:rsidTr="000540B3">
        <w:tc>
          <w:tcPr>
            <w:tcW w:w="4644" w:type="dxa"/>
          </w:tcPr>
          <w:p w14:paraId="43424C4D" w14:textId="77777777" w:rsidR="000540B3" w:rsidRPr="00D25DF8" w:rsidRDefault="000540B3" w:rsidP="003A6C5D">
            <w:pPr>
              <w:pStyle w:val="BodyText2"/>
              <w:tabs>
                <w:tab w:val="left" w:pos="5220"/>
              </w:tabs>
              <w:ind w:left="720"/>
              <w:rPr>
                <w:color w:val="FF0000"/>
                <w:sz w:val="22"/>
                <w:szCs w:val="22"/>
              </w:rPr>
            </w:pPr>
          </w:p>
        </w:tc>
        <w:tc>
          <w:tcPr>
            <w:tcW w:w="2034" w:type="dxa"/>
          </w:tcPr>
          <w:p w14:paraId="6176108E" w14:textId="77777777" w:rsidR="000540B3" w:rsidRPr="00D25DF8" w:rsidRDefault="000540B3" w:rsidP="003A6C5D">
            <w:pPr>
              <w:pStyle w:val="BodyText2"/>
              <w:tabs>
                <w:tab w:val="left" w:pos="5220"/>
              </w:tabs>
              <w:rPr>
                <w:color w:val="FF0000"/>
                <w:sz w:val="22"/>
                <w:szCs w:val="22"/>
              </w:rPr>
            </w:pPr>
          </w:p>
        </w:tc>
        <w:tc>
          <w:tcPr>
            <w:tcW w:w="1980" w:type="dxa"/>
          </w:tcPr>
          <w:p w14:paraId="60355E48" w14:textId="77777777" w:rsidR="000540B3" w:rsidRPr="00D25DF8" w:rsidRDefault="000540B3" w:rsidP="00E014DD">
            <w:pPr>
              <w:pStyle w:val="BodyText2"/>
              <w:tabs>
                <w:tab w:val="left" w:pos="5220"/>
              </w:tabs>
              <w:rPr>
                <w:color w:val="FF0000"/>
                <w:sz w:val="22"/>
                <w:szCs w:val="22"/>
              </w:rPr>
            </w:pPr>
          </w:p>
        </w:tc>
        <w:tc>
          <w:tcPr>
            <w:tcW w:w="1980" w:type="dxa"/>
          </w:tcPr>
          <w:p w14:paraId="0966135F" w14:textId="6993A532" w:rsidR="000540B3" w:rsidRPr="00D25DF8" w:rsidRDefault="000540B3" w:rsidP="00E014DD">
            <w:pPr>
              <w:pStyle w:val="BodyText2"/>
              <w:tabs>
                <w:tab w:val="left" w:pos="5220"/>
              </w:tabs>
              <w:rPr>
                <w:color w:val="FF0000"/>
                <w:sz w:val="22"/>
                <w:szCs w:val="22"/>
              </w:rPr>
            </w:pPr>
          </w:p>
        </w:tc>
      </w:tr>
      <w:tr w:rsidR="000540B3" w:rsidRPr="00D25DF8" w14:paraId="5012E788" w14:textId="77777777" w:rsidTr="000540B3">
        <w:tc>
          <w:tcPr>
            <w:tcW w:w="4644" w:type="dxa"/>
            <w:vAlign w:val="bottom"/>
          </w:tcPr>
          <w:p w14:paraId="5E08F4ED" w14:textId="77777777" w:rsidR="000540B3" w:rsidRPr="007810C1" w:rsidRDefault="000540B3" w:rsidP="003A6C5D">
            <w:pPr>
              <w:pStyle w:val="BodyText2"/>
              <w:tabs>
                <w:tab w:val="left" w:pos="5220"/>
              </w:tabs>
              <w:ind w:left="720"/>
              <w:jc w:val="left"/>
              <w:rPr>
                <w:sz w:val="22"/>
                <w:szCs w:val="22"/>
              </w:rPr>
            </w:pPr>
            <w:r w:rsidRPr="007810C1">
              <w:rPr>
                <w:sz w:val="22"/>
                <w:szCs w:val="22"/>
              </w:rPr>
              <w:t>Dividend</w:t>
            </w:r>
          </w:p>
        </w:tc>
        <w:tc>
          <w:tcPr>
            <w:tcW w:w="2034" w:type="dxa"/>
          </w:tcPr>
          <w:p w14:paraId="18A90696" w14:textId="0E963422" w:rsidR="000540B3" w:rsidRPr="007810C1" w:rsidRDefault="007810C1" w:rsidP="003A6C5D">
            <w:pPr>
              <w:pStyle w:val="BodyText2"/>
              <w:tabs>
                <w:tab w:val="left" w:pos="5220"/>
              </w:tabs>
              <w:jc w:val="left"/>
              <w:rPr>
                <w:sz w:val="22"/>
                <w:szCs w:val="22"/>
              </w:rPr>
            </w:pPr>
            <w:r w:rsidRPr="007810C1">
              <w:rPr>
                <w:sz w:val="22"/>
                <w:szCs w:val="22"/>
              </w:rPr>
              <w:t>(0.0593</w:t>
            </w:r>
            <w:r w:rsidR="000540B3" w:rsidRPr="007810C1">
              <w:rPr>
                <w:sz w:val="22"/>
                <w:szCs w:val="22"/>
              </w:rPr>
              <w:t>)</w:t>
            </w:r>
          </w:p>
        </w:tc>
        <w:tc>
          <w:tcPr>
            <w:tcW w:w="1980" w:type="dxa"/>
          </w:tcPr>
          <w:p w14:paraId="096D149C" w14:textId="2F67E7B5" w:rsidR="000540B3" w:rsidRPr="007810C1" w:rsidRDefault="00C65DEE" w:rsidP="00E014DD">
            <w:pPr>
              <w:pStyle w:val="BodyText2"/>
              <w:tabs>
                <w:tab w:val="left" w:pos="5220"/>
              </w:tabs>
              <w:jc w:val="left"/>
              <w:rPr>
                <w:sz w:val="22"/>
                <w:szCs w:val="22"/>
              </w:rPr>
            </w:pPr>
            <w:r>
              <w:rPr>
                <w:sz w:val="22"/>
                <w:szCs w:val="22"/>
              </w:rPr>
              <w:t>-</w:t>
            </w:r>
          </w:p>
        </w:tc>
        <w:tc>
          <w:tcPr>
            <w:tcW w:w="1980" w:type="dxa"/>
          </w:tcPr>
          <w:p w14:paraId="276E5DD8" w14:textId="39D02169" w:rsidR="000540B3" w:rsidRPr="007810C1" w:rsidRDefault="007810C1" w:rsidP="00E014DD">
            <w:pPr>
              <w:pStyle w:val="BodyText2"/>
              <w:tabs>
                <w:tab w:val="left" w:pos="5220"/>
              </w:tabs>
              <w:jc w:val="left"/>
              <w:rPr>
                <w:sz w:val="22"/>
                <w:szCs w:val="22"/>
              </w:rPr>
            </w:pPr>
            <w:r w:rsidRPr="007810C1">
              <w:rPr>
                <w:sz w:val="22"/>
                <w:szCs w:val="22"/>
              </w:rPr>
              <w:t>(0.0574</w:t>
            </w:r>
            <w:r w:rsidR="000540B3" w:rsidRPr="007810C1">
              <w:rPr>
                <w:sz w:val="22"/>
                <w:szCs w:val="22"/>
              </w:rPr>
              <w:t>)</w:t>
            </w:r>
          </w:p>
        </w:tc>
      </w:tr>
      <w:tr w:rsidR="000540B3" w:rsidRPr="00D25DF8" w14:paraId="769DD0A0" w14:textId="77777777" w:rsidTr="000540B3">
        <w:tc>
          <w:tcPr>
            <w:tcW w:w="4644" w:type="dxa"/>
          </w:tcPr>
          <w:p w14:paraId="004931DD" w14:textId="1E897C93" w:rsidR="000540B3" w:rsidRPr="007810C1" w:rsidRDefault="007810C1" w:rsidP="007810C1">
            <w:pPr>
              <w:pStyle w:val="BodyText2"/>
              <w:tabs>
                <w:tab w:val="clear" w:pos="1260"/>
                <w:tab w:val="clear" w:pos="8100"/>
                <w:tab w:val="clear" w:pos="9360"/>
                <w:tab w:val="left" w:pos="1291"/>
              </w:tabs>
              <w:ind w:left="709"/>
              <w:rPr>
                <w:sz w:val="22"/>
                <w:szCs w:val="22"/>
              </w:rPr>
            </w:pPr>
            <w:r w:rsidRPr="007810C1">
              <w:rPr>
                <w:sz w:val="22"/>
                <w:szCs w:val="22"/>
              </w:rPr>
              <w:t>Issuance cost</w:t>
            </w:r>
          </w:p>
        </w:tc>
        <w:tc>
          <w:tcPr>
            <w:tcW w:w="2034" w:type="dxa"/>
          </w:tcPr>
          <w:p w14:paraId="130A9C84" w14:textId="77777777" w:rsidR="000540B3" w:rsidRPr="007810C1" w:rsidRDefault="000540B3" w:rsidP="003A6C5D">
            <w:pPr>
              <w:pStyle w:val="BodyText2"/>
              <w:tabs>
                <w:tab w:val="left" w:pos="5220"/>
              </w:tabs>
              <w:rPr>
                <w:sz w:val="22"/>
                <w:szCs w:val="22"/>
              </w:rPr>
            </w:pPr>
          </w:p>
        </w:tc>
        <w:tc>
          <w:tcPr>
            <w:tcW w:w="1980" w:type="dxa"/>
          </w:tcPr>
          <w:p w14:paraId="2F461C2E" w14:textId="009E9755" w:rsidR="000540B3" w:rsidRPr="007810C1" w:rsidRDefault="007810C1" w:rsidP="00E014DD">
            <w:pPr>
              <w:pStyle w:val="BodyText2"/>
              <w:tabs>
                <w:tab w:val="left" w:pos="5220"/>
              </w:tabs>
              <w:rPr>
                <w:sz w:val="22"/>
                <w:szCs w:val="22"/>
              </w:rPr>
            </w:pPr>
            <w:r w:rsidRPr="007810C1">
              <w:rPr>
                <w:sz w:val="22"/>
                <w:szCs w:val="22"/>
              </w:rPr>
              <w:t>(0.0200)</w:t>
            </w:r>
          </w:p>
        </w:tc>
        <w:tc>
          <w:tcPr>
            <w:tcW w:w="1980" w:type="dxa"/>
          </w:tcPr>
          <w:p w14:paraId="19233465" w14:textId="26AA41A4" w:rsidR="000540B3" w:rsidRPr="007810C1" w:rsidRDefault="00C65DEE" w:rsidP="00E014DD">
            <w:pPr>
              <w:pStyle w:val="BodyText2"/>
              <w:tabs>
                <w:tab w:val="left" w:pos="5220"/>
              </w:tabs>
              <w:rPr>
                <w:sz w:val="22"/>
                <w:szCs w:val="22"/>
              </w:rPr>
            </w:pPr>
            <w:r>
              <w:rPr>
                <w:sz w:val="22"/>
                <w:szCs w:val="22"/>
              </w:rPr>
              <w:t>-</w:t>
            </w:r>
          </w:p>
        </w:tc>
      </w:tr>
      <w:tr w:rsidR="007810C1" w:rsidRPr="00D25DF8" w14:paraId="26577A04" w14:textId="77777777" w:rsidTr="000540B3">
        <w:tc>
          <w:tcPr>
            <w:tcW w:w="4644" w:type="dxa"/>
          </w:tcPr>
          <w:p w14:paraId="78892388" w14:textId="77777777" w:rsidR="007810C1" w:rsidRPr="00D25DF8" w:rsidRDefault="007810C1" w:rsidP="003A6C5D">
            <w:pPr>
              <w:pStyle w:val="BodyText2"/>
              <w:tabs>
                <w:tab w:val="clear" w:pos="1260"/>
                <w:tab w:val="clear" w:pos="8100"/>
                <w:tab w:val="clear" w:pos="9360"/>
                <w:tab w:val="left" w:pos="1291"/>
              </w:tabs>
              <w:rPr>
                <w:color w:val="FF0000"/>
                <w:sz w:val="22"/>
                <w:szCs w:val="22"/>
              </w:rPr>
            </w:pPr>
          </w:p>
        </w:tc>
        <w:tc>
          <w:tcPr>
            <w:tcW w:w="2034" w:type="dxa"/>
          </w:tcPr>
          <w:p w14:paraId="40250A5F" w14:textId="77777777" w:rsidR="007810C1" w:rsidRPr="00D25DF8" w:rsidRDefault="007810C1" w:rsidP="003A6C5D">
            <w:pPr>
              <w:pStyle w:val="BodyText2"/>
              <w:tabs>
                <w:tab w:val="left" w:pos="5220"/>
              </w:tabs>
              <w:rPr>
                <w:color w:val="FF0000"/>
                <w:sz w:val="22"/>
                <w:szCs w:val="22"/>
              </w:rPr>
            </w:pPr>
          </w:p>
        </w:tc>
        <w:tc>
          <w:tcPr>
            <w:tcW w:w="1980" w:type="dxa"/>
          </w:tcPr>
          <w:p w14:paraId="680BC2FD" w14:textId="77777777" w:rsidR="007810C1" w:rsidRPr="00D25DF8" w:rsidRDefault="007810C1" w:rsidP="00E014DD">
            <w:pPr>
              <w:pStyle w:val="BodyText2"/>
              <w:tabs>
                <w:tab w:val="left" w:pos="5220"/>
              </w:tabs>
              <w:rPr>
                <w:color w:val="FF0000"/>
                <w:sz w:val="22"/>
                <w:szCs w:val="22"/>
              </w:rPr>
            </w:pPr>
          </w:p>
        </w:tc>
        <w:tc>
          <w:tcPr>
            <w:tcW w:w="1980" w:type="dxa"/>
          </w:tcPr>
          <w:p w14:paraId="26445401" w14:textId="77777777" w:rsidR="007810C1" w:rsidRPr="00D25DF8" w:rsidRDefault="007810C1" w:rsidP="00E014DD">
            <w:pPr>
              <w:pStyle w:val="BodyText2"/>
              <w:tabs>
                <w:tab w:val="left" w:pos="5220"/>
              </w:tabs>
              <w:rPr>
                <w:color w:val="FF0000"/>
                <w:sz w:val="22"/>
                <w:szCs w:val="22"/>
              </w:rPr>
            </w:pPr>
          </w:p>
        </w:tc>
      </w:tr>
      <w:tr w:rsidR="000540B3" w:rsidRPr="00D25DF8" w14:paraId="6E466021" w14:textId="77777777" w:rsidTr="000540B3">
        <w:tc>
          <w:tcPr>
            <w:tcW w:w="4644" w:type="dxa"/>
          </w:tcPr>
          <w:p w14:paraId="1F597688" w14:textId="77777777" w:rsidR="000540B3" w:rsidRPr="00D25DF8" w:rsidRDefault="000540B3" w:rsidP="003A6C5D">
            <w:pPr>
              <w:pStyle w:val="BodyText2"/>
              <w:tabs>
                <w:tab w:val="left" w:pos="5220"/>
              </w:tabs>
              <w:rPr>
                <w:color w:val="FF0000"/>
                <w:sz w:val="22"/>
                <w:szCs w:val="22"/>
              </w:rPr>
            </w:pPr>
          </w:p>
        </w:tc>
        <w:tc>
          <w:tcPr>
            <w:tcW w:w="2034" w:type="dxa"/>
          </w:tcPr>
          <w:p w14:paraId="4624F461" w14:textId="77777777" w:rsidR="000540B3" w:rsidRPr="00D25DF8" w:rsidRDefault="000540B3" w:rsidP="003A6C5D">
            <w:pPr>
              <w:pStyle w:val="BodyText2"/>
              <w:tabs>
                <w:tab w:val="left" w:pos="5220"/>
              </w:tabs>
              <w:rPr>
                <w:color w:val="FF0000"/>
                <w:sz w:val="22"/>
                <w:szCs w:val="22"/>
              </w:rPr>
            </w:pPr>
          </w:p>
        </w:tc>
        <w:tc>
          <w:tcPr>
            <w:tcW w:w="1980" w:type="dxa"/>
          </w:tcPr>
          <w:p w14:paraId="242E756A" w14:textId="77777777" w:rsidR="000540B3" w:rsidRPr="00D25DF8" w:rsidRDefault="000540B3" w:rsidP="00E014DD">
            <w:pPr>
              <w:pStyle w:val="BodyText2"/>
              <w:tabs>
                <w:tab w:val="left" w:pos="5220"/>
              </w:tabs>
              <w:rPr>
                <w:color w:val="FF0000"/>
                <w:sz w:val="22"/>
                <w:szCs w:val="22"/>
              </w:rPr>
            </w:pPr>
          </w:p>
        </w:tc>
        <w:tc>
          <w:tcPr>
            <w:tcW w:w="1980" w:type="dxa"/>
          </w:tcPr>
          <w:p w14:paraId="12C01731" w14:textId="2FB3EA40" w:rsidR="000540B3" w:rsidRPr="00D25DF8" w:rsidRDefault="000540B3" w:rsidP="00E014DD">
            <w:pPr>
              <w:pStyle w:val="BodyText2"/>
              <w:tabs>
                <w:tab w:val="left" w:pos="5220"/>
              </w:tabs>
              <w:rPr>
                <w:color w:val="FF0000"/>
                <w:sz w:val="22"/>
                <w:szCs w:val="22"/>
              </w:rPr>
            </w:pPr>
          </w:p>
        </w:tc>
      </w:tr>
      <w:tr w:rsidR="000540B3" w:rsidRPr="00D25DF8" w14:paraId="6FCF6367" w14:textId="77777777" w:rsidTr="000540B3">
        <w:tc>
          <w:tcPr>
            <w:tcW w:w="4644" w:type="dxa"/>
          </w:tcPr>
          <w:p w14:paraId="1CE2CE12" w14:textId="0B450CAB" w:rsidR="000540B3" w:rsidRPr="007810C1" w:rsidRDefault="000540B3" w:rsidP="003A6C5D">
            <w:pPr>
              <w:pStyle w:val="BodyText2"/>
              <w:tabs>
                <w:tab w:val="left" w:pos="5220"/>
              </w:tabs>
              <w:rPr>
                <w:sz w:val="22"/>
                <w:szCs w:val="22"/>
              </w:rPr>
            </w:pPr>
            <w:r w:rsidRPr="007810C1">
              <w:rPr>
                <w:sz w:val="22"/>
                <w:szCs w:val="22"/>
              </w:rPr>
              <w:t>Net Asset Value, end of year</w:t>
            </w:r>
            <w:r w:rsidR="00766353">
              <w:rPr>
                <w:sz w:val="22"/>
                <w:szCs w:val="22"/>
              </w:rPr>
              <w:t>s</w:t>
            </w:r>
          </w:p>
        </w:tc>
        <w:tc>
          <w:tcPr>
            <w:tcW w:w="2034" w:type="dxa"/>
          </w:tcPr>
          <w:p w14:paraId="44085A96" w14:textId="08A235D2" w:rsidR="000540B3" w:rsidRPr="007810C1" w:rsidRDefault="007810C1" w:rsidP="003A6C5D">
            <w:pPr>
              <w:pStyle w:val="BodyText2"/>
              <w:tabs>
                <w:tab w:val="left" w:pos="5220"/>
              </w:tabs>
              <w:rPr>
                <w:sz w:val="22"/>
                <w:szCs w:val="22"/>
              </w:rPr>
            </w:pPr>
            <w:r w:rsidRPr="007810C1">
              <w:rPr>
                <w:sz w:val="22"/>
                <w:szCs w:val="22"/>
              </w:rPr>
              <w:t>$1.2705</w:t>
            </w:r>
          </w:p>
        </w:tc>
        <w:tc>
          <w:tcPr>
            <w:tcW w:w="1980" w:type="dxa"/>
          </w:tcPr>
          <w:p w14:paraId="34F4B78B" w14:textId="19917F0A" w:rsidR="000540B3" w:rsidRPr="007810C1" w:rsidRDefault="007810C1" w:rsidP="00E014DD">
            <w:pPr>
              <w:pStyle w:val="BodyText2"/>
              <w:tabs>
                <w:tab w:val="left" w:pos="5220"/>
              </w:tabs>
              <w:rPr>
                <w:sz w:val="22"/>
                <w:szCs w:val="22"/>
              </w:rPr>
            </w:pPr>
            <w:r w:rsidRPr="007810C1">
              <w:rPr>
                <w:sz w:val="22"/>
                <w:szCs w:val="22"/>
              </w:rPr>
              <w:t>$0.9800</w:t>
            </w:r>
          </w:p>
        </w:tc>
        <w:tc>
          <w:tcPr>
            <w:tcW w:w="1980" w:type="dxa"/>
          </w:tcPr>
          <w:p w14:paraId="0F88025D" w14:textId="6E964A1F" w:rsidR="000540B3" w:rsidRPr="007810C1" w:rsidRDefault="007810C1" w:rsidP="00E014DD">
            <w:pPr>
              <w:pStyle w:val="BodyText2"/>
              <w:tabs>
                <w:tab w:val="left" w:pos="5220"/>
              </w:tabs>
              <w:rPr>
                <w:sz w:val="22"/>
                <w:szCs w:val="22"/>
              </w:rPr>
            </w:pPr>
            <w:r w:rsidRPr="007810C1">
              <w:rPr>
                <w:sz w:val="22"/>
                <w:szCs w:val="22"/>
              </w:rPr>
              <w:t>$1.1981</w:t>
            </w:r>
          </w:p>
        </w:tc>
      </w:tr>
      <w:tr w:rsidR="000540B3" w:rsidRPr="00D25DF8" w14:paraId="088A7ABC" w14:textId="77777777" w:rsidTr="000540B3">
        <w:tc>
          <w:tcPr>
            <w:tcW w:w="4644" w:type="dxa"/>
          </w:tcPr>
          <w:p w14:paraId="02255A69" w14:textId="77777777" w:rsidR="000540B3" w:rsidRPr="007810C1" w:rsidRDefault="000540B3" w:rsidP="003A6C5D">
            <w:pPr>
              <w:pStyle w:val="BodyText2"/>
              <w:tabs>
                <w:tab w:val="left" w:pos="5220"/>
              </w:tabs>
              <w:rPr>
                <w:sz w:val="22"/>
                <w:szCs w:val="22"/>
              </w:rPr>
            </w:pPr>
          </w:p>
        </w:tc>
        <w:tc>
          <w:tcPr>
            <w:tcW w:w="2034" w:type="dxa"/>
          </w:tcPr>
          <w:p w14:paraId="6E0A2883" w14:textId="77777777" w:rsidR="000540B3" w:rsidRPr="007810C1" w:rsidRDefault="000540B3" w:rsidP="003A6C5D">
            <w:pPr>
              <w:pStyle w:val="BodyText2"/>
              <w:tabs>
                <w:tab w:val="left" w:pos="5220"/>
              </w:tabs>
              <w:rPr>
                <w:sz w:val="22"/>
                <w:szCs w:val="22"/>
              </w:rPr>
            </w:pPr>
          </w:p>
        </w:tc>
        <w:tc>
          <w:tcPr>
            <w:tcW w:w="1980" w:type="dxa"/>
          </w:tcPr>
          <w:p w14:paraId="3E6899EA" w14:textId="77777777" w:rsidR="000540B3" w:rsidRPr="007810C1" w:rsidRDefault="000540B3" w:rsidP="00E014DD">
            <w:pPr>
              <w:pStyle w:val="BodyText2"/>
              <w:tabs>
                <w:tab w:val="left" w:pos="5220"/>
              </w:tabs>
              <w:rPr>
                <w:sz w:val="22"/>
                <w:szCs w:val="22"/>
              </w:rPr>
            </w:pPr>
          </w:p>
        </w:tc>
        <w:tc>
          <w:tcPr>
            <w:tcW w:w="1980" w:type="dxa"/>
          </w:tcPr>
          <w:p w14:paraId="16C1168A" w14:textId="2B322956" w:rsidR="000540B3" w:rsidRPr="007810C1" w:rsidRDefault="000540B3" w:rsidP="00E014DD">
            <w:pPr>
              <w:pStyle w:val="BodyText2"/>
              <w:tabs>
                <w:tab w:val="left" w:pos="5220"/>
              </w:tabs>
              <w:rPr>
                <w:sz w:val="22"/>
                <w:szCs w:val="22"/>
              </w:rPr>
            </w:pPr>
          </w:p>
        </w:tc>
      </w:tr>
      <w:tr w:rsidR="000540B3" w:rsidRPr="00D25DF8" w14:paraId="06B4ACA3" w14:textId="77777777" w:rsidTr="000540B3">
        <w:tc>
          <w:tcPr>
            <w:tcW w:w="4644" w:type="dxa"/>
          </w:tcPr>
          <w:p w14:paraId="43934687" w14:textId="77777777" w:rsidR="000540B3" w:rsidRPr="007810C1" w:rsidRDefault="000540B3" w:rsidP="003A6C5D">
            <w:pPr>
              <w:pStyle w:val="BodyText2"/>
              <w:tabs>
                <w:tab w:val="left" w:pos="5220"/>
              </w:tabs>
              <w:rPr>
                <w:sz w:val="22"/>
                <w:szCs w:val="22"/>
              </w:rPr>
            </w:pPr>
          </w:p>
        </w:tc>
        <w:tc>
          <w:tcPr>
            <w:tcW w:w="2034" w:type="dxa"/>
          </w:tcPr>
          <w:p w14:paraId="040586C8" w14:textId="77777777" w:rsidR="000540B3" w:rsidRPr="007810C1" w:rsidRDefault="000540B3" w:rsidP="003A6C5D">
            <w:pPr>
              <w:pStyle w:val="BodyText2"/>
              <w:tabs>
                <w:tab w:val="left" w:pos="5220"/>
              </w:tabs>
              <w:rPr>
                <w:sz w:val="22"/>
                <w:szCs w:val="22"/>
              </w:rPr>
            </w:pPr>
          </w:p>
        </w:tc>
        <w:tc>
          <w:tcPr>
            <w:tcW w:w="1980" w:type="dxa"/>
          </w:tcPr>
          <w:p w14:paraId="78553A47" w14:textId="77777777" w:rsidR="000540B3" w:rsidRPr="007810C1" w:rsidRDefault="000540B3" w:rsidP="00E014DD">
            <w:pPr>
              <w:pStyle w:val="BodyText2"/>
              <w:tabs>
                <w:tab w:val="left" w:pos="5220"/>
              </w:tabs>
              <w:rPr>
                <w:sz w:val="22"/>
                <w:szCs w:val="22"/>
              </w:rPr>
            </w:pPr>
          </w:p>
        </w:tc>
        <w:tc>
          <w:tcPr>
            <w:tcW w:w="1980" w:type="dxa"/>
          </w:tcPr>
          <w:p w14:paraId="6310630C" w14:textId="4DE57F66" w:rsidR="000540B3" w:rsidRPr="007810C1" w:rsidRDefault="000540B3" w:rsidP="00E014DD">
            <w:pPr>
              <w:pStyle w:val="BodyText2"/>
              <w:tabs>
                <w:tab w:val="left" w:pos="5220"/>
              </w:tabs>
              <w:rPr>
                <w:sz w:val="22"/>
                <w:szCs w:val="22"/>
              </w:rPr>
            </w:pPr>
          </w:p>
        </w:tc>
      </w:tr>
      <w:tr w:rsidR="000540B3" w:rsidRPr="00D25DF8" w14:paraId="22557880" w14:textId="77777777" w:rsidTr="000540B3">
        <w:tc>
          <w:tcPr>
            <w:tcW w:w="4644" w:type="dxa"/>
          </w:tcPr>
          <w:p w14:paraId="5C4FA48F" w14:textId="77777777" w:rsidR="000540B3" w:rsidRPr="007810C1" w:rsidRDefault="000540B3" w:rsidP="003A6C5D">
            <w:pPr>
              <w:pStyle w:val="BodyText2"/>
              <w:tabs>
                <w:tab w:val="left" w:pos="5220"/>
              </w:tabs>
              <w:rPr>
                <w:sz w:val="22"/>
                <w:szCs w:val="22"/>
              </w:rPr>
            </w:pPr>
            <w:r w:rsidRPr="007810C1">
              <w:rPr>
                <w:sz w:val="22"/>
                <w:szCs w:val="22"/>
              </w:rPr>
              <w:t>Total return</w:t>
            </w:r>
            <w:r w:rsidRPr="007810C1">
              <w:rPr>
                <w:sz w:val="22"/>
                <w:szCs w:val="22"/>
              </w:rPr>
              <w:tab/>
            </w:r>
          </w:p>
        </w:tc>
        <w:tc>
          <w:tcPr>
            <w:tcW w:w="2034" w:type="dxa"/>
          </w:tcPr>
          <w:p w14:paraId="7668D664" w14:textId="77777777" w:rsidR="000540B3" w:rsidRPr="007810C1" w:rsidRDefault="000540B3" w:rsidP="003A6C5D">
            <w:pPr>
              <w:pStyle w:val="BodyText2"/>
              <w:tabs>
                <w:tab w:val="left" w:pos="5220"/>
              </w:tabs>
              <w:rPr>
                <w:sz w:val="22"/>
                <w:szCs w:val="22"/>
              </w:rPr>
            </w:pPr>
          </w:p>
        </w:tc>
        <w:tc>
          <w:tcPr>
            <w:tcW w:w="1980" w:type="dxa"/>
          </w:tcPr>
          <w:p w14:paraId="1F9B61B3" w14:textId="77777777" w:rsidR="000540B3" w:rsidRPr="007810C1" w:rsidRDefault="000540B3" w:rsidP="00E014DD">
            <w:pPr>
              <w:pStyle w:val="BodyText2"/>
              <w:tabs>
                <w:tab w:val="left" w:pos="5220"/>
              </w:tabs>
              <w:rPr>
                <w:sz w:val="22"/>
                <w:szCs w:val="22"/>
              </w:rPr>
            </w:pPr>
          </w:p>
        </w:tc>
        <w:tc>
          <w:tcPr>
            <w:tcW w:w="1980" w:type="dxa"/>
          </w:tcPr>
          <w:p w14:paraId="2EF5AF5E" w14:textId="78A9A7E8" w:rsidR="000540B3" w:rsidRPr="007810C1" w:rsidRDefault="000540B3" w:rsidP="00E014DD">
            <w:pPr>
              <w:pStyle w:val="BodyText2"/>
              <w:tabs>
                <w:tab w:val="left" w:pos="5220"/>
              </w:tabs>
              <w:rPr>
                <w:sz w:val="22"/>
                <w:szCs w:val="22"/>
              </w:rPr>
            </w:pPr>
          </w:p>
        </w:tc>
      </w:tr>
      <w:tr w:rsidR="000540B3" w:rsidRPr="00D25DF8" w14:paraId="06024298" w14:textId="77777777" w:rsidTr="000540B3">
        <w:tc>
          <w:tcPr>
            <w:tcW w:w="4644" w:type="dxa"/>
          </w:tcPr>
          <w:p w14:paraId="43FC87B0" w14:textId="77777777" w:rsidR="000540B3" w:rsidRPr="007810C1" w:rsidRDefault="000540B3" w:rsidP="003A6C5D">
            <w:pPr>
              <w:pStyle w:val="BodyText2"/>
              <w:tabs>
                <w:tab w:val="left" w:pos="5220"/>
              </w:tabs>
              <w:rPr>
                <w:sz w:val="22"/>
                <w:szCs w:val="22"/>
              </w:rPr>
            </w:pPr>
          </w:p>
        </w:tc>
        <w:tc>
          <w:tcPr>
            <w:tcW w:w="2034" w:type="dxa"/>
          </w:tcPr>
          <w:p w14:paraId="49EE45D3" w14:textId="77777777" w:rsidR="000540B3" w:rsidRPr="007810C1" w:rsidRDefault="000540B3" w:rsidP="003A6C5D">
            <w:pPr>
              <w:pStyle w:val="BodyText2"/>
              <w:tabs>
                <w:tab w:val="left" w:pos="5220"/>
              </w:tabs>
              <w:rPr>
                <w:sz w:val="22"/>
                <w:szCs w:val="22"/>
              </w:rPr>
            </w:pPr>
          </w:p>
        </w:tc>
        <w:tc>
          <w:tcPr>
            <w:tcW w:w="1980" w:type="dxa"/>
          </w:tcPr>
          <w:p w14:paraId="3F186539" w14:textId="77777777" w:rsidR="000540B3" w:rsidRPr="007810C1" w:rsidRDefault="000540B3" w:rsidP="00E014DD">
            <w:pPr>
              <w:pStyle w:val="BodyText2"/>
              <w:tabs>
                <w:tab w:val="left" w:pos="5220"/>
              </w:tabs>
              <w:rPr>
                <w:sz w:val="22"/>
                <w:szCs w:val="22"/>
              </w:rPr>
            </w:pPr>
          </w:p>
        </w:tc>
        <w:tc>
          <w:tcPr>
            <w:tcW w:w="1980" w:type="dxa"/>
          </w:tcPr>
          <w:p w14:paraId="54F99627" w14:textId="26FFD197" w:rsidR="000540B3" w:rsidRPr="007810C1" w:rsidRDefault="000540B3" w:rsidP="00E014DD">
            <w:pPr>
              <w:pStyle w:val="BodyText2"/>
              <w:tabs>
                <w:tab w:val="left" w:pos="5220"/>
              </w:tabs>
              <w:rPr>
                <w:sz w:val="22"/>
                <w:szCs w:val="22"/>
              </w:rPr>
            </w:pPr>
          </w:p>
        </w:tc>
      </w:tr>
      <w:tr w:rsidR="007810C1" w:rsidRPr="00D25DF8" w14:paraId="067EF1D8" w14:textId="77777777" w:rsidTr="000540B3">
        <w:tc>
          <w:tcPr>
            <w:tcW w:w="4644" w:type="dxa"/>
          </w:tcPr>
          <w:p w14:paraId="1FC16E54" w14:textId="77777777" w:rsidR="007810C1" w:rsidRPr="007810C1" w:rsidRDefault="007810C1" w:rsidP="003A6C5D">
            <w:pPr>
              <w:pStyle w:val="BodyText2"/>
              <w:tabs>
                <w:tab w:val="left" w:pos="5220"/>
              </w:tabs>
              <w:ind w:left="720"/>
              <w:rPr>
                <w:sz w:val="22"/>
                <w:szCs w:val="22"/>
              </w:rPr>
            </w:pPr>
            <w:r w:rsidRPr="007810C1">
              <w:rPr>
                <w:sz w:val="22"/>
                <w:szCs w:val="22"/>
              </w:rPr>
              <w:t>Total return before performance fee</w:t>
            </w:r>
          </w:p>
        </w:tc>
        <w:tc>
          <w:tcPr>
            <w:tcW w:w="2034" w:type="dxa"/>
          </w:tcPr>
          <w:p w14:paraId="5AB24D54" w14:textId="686C0C62" w:rsidR="007810C1" w:rsidRPr="007810C1" w:rsidRDefault="007810C1" w:rsidP="003A6C5D">
            <w:pPr>
              <w:pStyle w:val="BodyText2"/>
              <w:tabs>
                <w:tab w:val="left" w:pos="5220"/>
              </w:tabs>
              <w:rPr>
                <w:sz w:val="22"/>
                <w:szCs w:val="22"/>
              </w:rPr>
            </w:pPr>
            <w:r w:rsidRPr="007810C1">
              <w:rPr>
                <w:sz w:val="22"/>
                <w:szCs w:val="22"/>
              </w:rPr>
              <w:t>12.42%</w:t>
            </w:r>
          </w:p>
        </w:tc>
        <w:tc>
          <w:tcPr>
            <w:tcW w:w="1980" w:type="dxa"/>
          </w:tcPr>
          <w:p w14:paraId="0546BB3E" w14:textId="4F1300B8" w:rsidR="007810C1" w:rsidRPr="007810C1" w:rsidRDefault="00C65DEE" w:rsidP="00E014DD">
            <w:pPr>
              <w:pStyle w:val="BodyText2"/>
              <w:tabs>
                <w:tab w:val="left" w:pos="5220"/>
              </w:tabs>
              <w:rPr>
                <w:sz w:val="22"/>
                <w:szCs w:val="22"/>
              </w:rPr>
            </w:pPr>
            <w:r>
              <w:rPr>
                <w:sz w:val="22"/>
                <w:szCs w:val="22"/>
              </w:rPr>
              <w:t>-</w:t>
            </w:r>
          </w:p>
        </w:tc>
        <w:tc>
          <w:tcPr>
            <w:tcW w:w="1980" w:type="dxa"/>
          </w:tcPr>
          <w:p w14:paraId="054D6DEE" w14:textId="019E1B5A" w:rsidR="007810C1" w:rsidRPr="007810C1" w:rsidRDefault="007810C1" w:rsidP="00E014DD">
            <w:pPr>
              <w:pStyle w:val="BodyText2"/>
              <w:tabs>
                <w:tab w:val="left" w:pos="5220"/>
              </w:tabs>
              <w:rPr>
                <w:sz w:val="22"/>
                <w:szCs w:val="22"/>
              </w:rPr>
            </w:pPr>
            <w:r w:rsidRPr="007810C1">
              <w:rPr>
                <w:sz w:val="22"/>
                <w:szCs w:val="22"/>
              </w:rPr>
              <w:t>15.04%</w:t>
            </w:r>
          </w:p>
        </w:tc>
      </w:tr>
      <w:tr w:rsidR="007810C1" w:rsidRPr="00D25DF8" w14:paraId="169D438C" w14:textId="77777777" w:rsidTr="000540B3">
        <w:tc>
          <w:tcPr>
            <w:tcW w:w="4644" w:type="dxa"/>
          </w:tcPr>
          <w:p w14:paraId="4F10AFA7" w14:textId="77777777" w:rsidR="007810C1" w:rsidRPr="007810C1" w:rsidRDefault="007810C1" w:rsidP="003A6C5D">
            <w:pPr>
              <w:pStyle w:val="BodyText2"/>
              <w:tabs>
                <w:tab w:val="left" w:pos="5220"/>
              </w:tabs>
              <w:ind w:left="720"/>
              <w:rPr>
                <w:sz w:val="22"/>
                <w:szCs w:val="22"/>
              </w:rPr>
            </w:pPr>
            <w:r w:rsidRPr="007810C1">
              <w:rPr>
                <w:sz w:val="22"/>
                <w:szCs w:val="22"/>
              </w:rPr>
              <w:t>Performance fee*</w:t>
            </w:r>
          </w:p>
        </w:tc>
        <w:tc>
          <w:tcPr>
            <w:tcW w:w="2034" w:type="dxa"/>
          </w:tcPr>
          <w:p w14:paraId="4E2F7EBF" w14:textId="417362B9" w:rsidR="007810C1" w:rsidRPr="007810C1" w:rsidRDefault="007810C1" w:rsidP="003A6C5D">
            <w:pPr>
              <w:pStyle w:val="BodyText2"/>
              <w:tabs>
                <w:tab w:val="left" w:pos="5220"/>
              </w:tabs>
              <w:rPr>
                <w:sz w:val="22"/>
                <w:szCs w:val="22"/>
              </w:rPr>
            </w:pPr>
            <w:r w:rsidRPr="007810C1">
              <w:rPr>
                <w:sz w:val="22"/>
                <w:szCs w:val="22"/>
              </w:rPr>
              <w:t>(1.31)%</w:t>
            </w:r>
          </w:p>
        </w:tc>
        <w:tc>
          <w:tcPr>
            <w:tcW w:w="1980" w:type="dxa"/>
          </w:tcPr>
          <w:p w14:paraId="197DD1D8" w14:textId="270F6651" w:rsidR="007810C1" w:rsidRPr="007810C1" w:rsidRDefault="00C65DEE" w:rsidP="00E014DD">
            <w:pPr>
              <w:pStyle w:val="BodyText2"/>
              <w:tabs>
                <w:tab w:val="left" w:pos="5220"/>
              </w:tabs>
              <w:rPr>
                <w:sz w:val="22"/>
                <w:szCs w:val="22"/>
              </w:rPr>
            </w:pPr>
            <w:r>
              <w:rPr>
                <w:sz w:val="22"/>
                <w:szCs w:val="22"/>
              </w:rPr>
              <w:t>-</w:t>
            </w:r>
          </w:p>
        </w:tc>
        <w:tc>
          <w:tcPr>
            <w:tcW w:w="1980" w:type="dxa"/>
          </w:tcPr>
          <w:p w14:paraId="0F1E4081" w14:textId="789B65BE" w:rsidR="007810C1" w:rsidRPr="007810C1" w:rsidRDefault="007810C1" w:rsidP="00E014DD">
            <w:pPr>
              <w:pStyle w:val="BodyText2"/>
              <w:tabs>
                <w:tab w:val="left" w:pos="5220"/>
              </w:tabs>
              <w:rPr>
                <w:sz w:val="22"/>
                <w:szCs w:val="22"/>
              </w:rPr>
            </w:pPr>
            <w:r w:rsidRPr="007810C1">
              <w:rPr>
                <w:sz w:val="22"/>
                <w:szCs w:val="22"/>
              </w:rPr>
              <w:t>(1.51)%</w:t>
            </w:r>
          </w:p>
        </w:tc>
      </w:tr>
      <w:tr w:rsidR="000540B3" w:rsidRPr="00D25DF8" w14:paraId="1501871D" w14:textId="77777777" w:rsidTr="000540B3">
        <w:tc>
          <w:tcPr>
            <w:tcW w:w="4644" w:type="dxa"/>
          </w:tcPr>
          <w:p w14:paraId="2A350B8E" w14:textId="77777777" w:rsidR="000540B3" w:rsidRPr="00D25DF8" w:rsidRDefault="000540B3" w:rsidP="003A6C5D">
            <w:pPr>
              <w:pStyle w:val="BodyText2"/>
              <w:tabs>
                <w:tab w:val="left" w:pos="5220"/>
              </w:tabs>
              <w:rPr>
                <w:color w:val="FF0000"/>
                <w:sz w:val="22"/>
                <w:szCs w:val="22"/>
              </w:rPr>
            </w:pPr>
          </w:p>
        </w:tc>
        <w:tc>
          <w:tcPr>
            <w:tcW w:w="2034" w:type="dxa"/>
          </w:tcPr>
          <w:p w14:paraId="50091B2E" w14:textId="77777777" w:rsidR="000540B3" w:rsidRPr="00D25DF8" w:rsidRDefault="000540B3" w:rsidP="003A6C5D">
            <w:pPr>
              <w:pStyle w:val="BodyText2"/>
              <w:tabs>
                <w:tab w:val="left" w:pos="5220"/>
              </w:tabs>
              <w:rPr>
                <w:color w:val="FF0000"/>
                <w:sz w:val="22"/>
                <w:szCs w:val="22"/>
              </w:rPr>
            </w:pPr>
          </w:p>
        </w:tc>
        <w:tc>
          <w:tcPr>
            <w:tcW w:w="1980" w:type="dxa"/>
          </w:tcPr>
          <w:p w14:paraId="03430389" w14:textId="77777777" w:rsidR="000540B3" w:rsidRPr="00D25DF8" w:rsidRDefault="000540B3" w:rsidP="00E014DD">
            <w:pPr>
              <w:pStyle w:val="BodyText2"/>
              <w:tabs>
                <w:tab w:val="left" w:pos="5220"/>
              </w:tabs>
              <w:rPr>
                <w:color w:val="FF0000"/>
                <w:sz w:val="22"/>
                <w:szCs w:val="22"/>
              </w:rPr>
            </w:pPr>
          </w:p>
        </w:tc>
        <w:tc>
          <w:tcPr>
            <w:tcW w:w="1980" w:type="dxa"/>
          </w:tcPr>
          <w:p w14:paraId="08649053" w14:textId="0AE80CE2" w:rsidR="000540B3" w:rsidRPr="00D25DF8" w:rsidRDefault="000540B3" w:rsidP="00E014DD">
            <w:pPr>
              <w:pStyle w:val="BodyText2"/>
              <w:tabs>
                <w:tab w:val="left" w:pos="5220"/>
              </w:tabs>
              <w:rPr>
                <w:color w:val="FF0000"/>
                <w:sz w:val="22"/>
                <w:szCs w:val="22"/>
              </w:rPr>
            </w:pPr>
          </w:p>
        </w:tc>
      </w:tr>
      <w:tr w:rsidR="000540B3" w:rsidRPr="00D25DF8" w14:paraId="740717F2" w14:textId="77777777" w:rsidTr="000540B3">
        <w:tc>
          <w:tcPr>
            <w:tcW w:w="4644" w:type="dxa"/>
          </w:tcPr>
          <w:p w14:paraId="76A91788" w14:textId="77777777" w:rsidR="000540B3" w:rsidRPr="00D25DF8" w:rsidRDefault="000540B3" w:rsidP="003A6C5D">
            <w:pPr>
              <w:pStyle w:val="BodyText2"/>
              <w:tabs>
                <w:tab w:val="left" w:pos="5220"/>
              </w:tabs>
              <w:rPr>
                <w:color w:val="FF0000"/>
                <w:sz w:val="22"/>
                <w:szCs w:val="22"/>
              </w:rPr>
            </w:pPr>
          </w:p>
        </w:tc>
        <w:tc>
          <w:tcPr>
            <w:tcW w:w="2034" w:type="dxa"/>
          </w:tcPr>
          <w:p w14:paraId="4FF8BEDB" w14:textId="77777777" w:rsidR="000540B3" w:rsidRPr="00D25DF8" w:rsidRDefault="000540B3" w:rsidP="003A6C5D">
            <w:pPr>
              <w:pStyle w:val="BodyText2"/>
              <w:tabs>
                <w:tab w:val="left" w:pos="5220"/>
              </w:tabs>
              <w:rPr>
                <w:color w:val="FF0000"/>
                <w:sz w:val="22"/>
                <w:szCs w:val="22"/>
              </w:rPr>
            </w:pPr>
          </w:p>
        </w:tc>
        <w:tc>
          <w:tcPr>
            <w:tcW w:w="1980" w:type="dxa"/>
          </w:tcPr>
          <w:p w14:paraId="2ACA8C0C" w14:textId="77777777" w:rsidR="000540B3" w:rsidRPr="00D25DF8" w:rsidRDefault="000540B3" w:rsidP="00E014DD">
            <w:pPr>
              <w:pStyle w:val="BodyText2"/>
              <w:tabs>
                <w:tab w:val="left" w:pos="5220"/>
              </w:tabs>
              <w:rPr>
                <w:color w:val="FF0000"/>
                <w:sz w:val="22"/>
                <w:szCs w:val="22"/>
              </w:rPr>
            </w:pPr>
          </w:p>
        </w:tc>
        <w:tc>
          <w:tcPr>
            <w:tcW w:w="1980" w:type="dxa"/>
          </w:tcPr>
          <w:p w14:paraId="14BEBA8B" w14:textId="3CEB528C" w:rsidR="000540B3" w:rsidRPr="00D25DF8" w:rsidRDefault="000540B3" w:rsidP="00E014DD">
            <w:pPr>
              <w:pStyle w:val="BodyText2"/>
              <w:tabs>
                <w:tab w:val="left" w:pos="5220"/>
              </w:tabs>
              <w:rPr>
                <w:color w:val="FF0000"/>
                <w:sz w:val="22"/>
                <w:szCs w:val="22"/>
              </w:rPr>
            </w:pPr>
          </w:p>
        </w:tc>
      </w:tr>
      <w:tr w:rsidR="000540B3" w:rsidRPr="00D25DF8" w14:paraId="048364EA" w14:textId="77777777" w:rsidTr="007810C1">
        <w:tc>
          <w:tcPr>
            <w:tcW w:w="4644" w:type="dxa"/>
          </w:tcPr>
          <w:p w14:paraId="4F2E9A9F" w14:textId="77777777" w:rsidR="000540B3" w:rsidRPr="007810C1" w:rsidRDefault="000540B3" w:rsidP="003A6C5D">
            <w:pPr>
              <w:pStyle w:val="BodyText2"/>
              <w:tabs>
                <w:tab w:val="left" w:pos="5220"/>
              </w:tabs>
              <w:rPr>
                <w:sz w:val="22"/>
                <w:szCs w:val="22"/>
              </w:rPr>
            </w:pPr>
            <w:r w:rsidRPr="007810C1">
              <w:rPr>
                <w:sz w:val="22"/>
                <w:szCs w:val="22"/>
              </w:rPr>
              <w:t>Total return after performance fee</w:t>
            </w:r>
          </w:p>
        </w:tc>
        <w:tc>
          <w:tcPr>
            <w:tcW w:w="2034" w:type="dxa"/>
          </w:tcPr>
          <w:p w14:paraId="49EE9B68" w14:textId="5E675EB7" w:rsidR="000540B3" w:rsidRPr="007810C1" w:rsidRDefault="007810C1" w:rsidP="007810C1">
            <w:pPr>
              <w:pStyle w:val="BodyText2"/>
              <w:tabs>
                <w:tab w:val="left" w:pos="5220"/>
              </w:tabs>
              <w:jc w:val="left"/>
              <w:rPr>
                <w:sz w:val="22"/>
                <w:szCs w:val="22"/>
              </w:rPr>
            </w:pPr>
            <w:r w:rsidRPr="007810C1">
              <w:rPr>
                <w:sz w:val="22"/>
                <w:szCs w:val="22"/>
              </w:rPr>
              <w:t>11.11%</w:t>
            </w:r>
            <w:r w:rsidRPr="007810C1">
              <w:rPr>
                <w:sz w:val="12"/>
                <w:szCs w:val="12"/>
              </w:rPr>
              <w:sym w:font="Wingdings 3" w:char="F072"/>
            </w:r>
          </w:p>
        </w:tc>
        <w:tc>
          <w:tcPr>
            <w:tcW w:w="1980" w:type="dxa"/>
          </w:tcPr>
          <w:p w14:paraId="2D97C7F1" w14:textId="29C13EDB" w:rsidR="000540B3" w:rsidRPr="007810C1" w:rsidRDefault="00C65DEE" w:rsidP="00E014DD">
            <w:pPr>
              <w:pStyle w:val="BodyText2"/>
              <w:tabs>
                <w:tab w:val="left" w:pos="5220"/>
              </w:tabs>
              <w:rPr>
                <w:sz w:val="22"/>
                <w:szCs w:val="22"/>
              </w:rPr>
            </w:pPr>
            <w:r>
              <w:rPr>
                <w:sz w:val="22"/>
                <w:szCs w:val="22"/>
              </w:rPr>
              <w:t>-</w:t>
            </w:r>
          </w:p>
        </w:tc>
        <w:tc>
          <w:tcPr>
            <w:tcW w:w="1980" w:type="dxa"/>
          </w:tcPr>
          <w:p w14:paraId="61CCAFDC" w14:textId="0274ADC3" w:rsidR="000540B3" w:rsidRPr="007810C1" w:rsidRDefault="007810C1" w:rsidP="00E014DD">
            <w:pPr>
              <w:pStyle w:val="BodyText2"/>
              <w:tabs>
                <w:tab w:val="left" w:pos="5220"/>
              </w:tabs>
              <w:rPr>
                <w:sz w:val="22"/>
                <w:szCs w:val="22"/>
              </w:rPr>
            </w:pPr>
            <w:r w:rsidRPr="007810C1">
              <w:rPr>
                <w:sz w:val="22"/>
                <w:szCs w:val="22"/>
              </w:rPr>
              <w:t>13.53%</w:t>
            </w:r>
            <w:r w:rsidR="000540B3" w:rsidRPr="007810C1">
              <w:rPr>
                <w:rFonts w:cs="Arial"/>
                <w:sz w:val="16"/>
                <w:szCs w:val="16"/>
              </w:rPr>
              <w:t>†</w:t>
            </w:r>
          </w:p>
        </w:tc>
      </w:tr>
      <w:tr w:rsidR="000540B3" w:rsidRPr="00D25DF8" w14:paraId="7C45B5A2" w14:textId="77777777" w:rsidTr="000540B3">
        <w:tc>
          <w:tcPr>
            <w:tcW w:w="4644" w:type="dxa"/>
          </w:tcPr>
          <w:p w14:paraId="3FC31E41" w14:textId="22B3A0F2" w:rsidR="000540B3" w:rsidRPr="007810C1" w:rsidRDefault="000540B3" w:rsidP="003A6C5D">
            <w:pPr>
              <w:pStyle w:val="BodyText2"/>
              <w:tabs>
                <w:tab w:val="left" w:pos="5220"/>
              </w:tabs>
              <w:rPr>
                <w:sz w:val="22"/>
                <w:szCs w:val="22"/>
              </w:rPr>
            </w:pPr>
          </w:p>
        </w:tc>
        <w:tc>
          <w:tcPr>
            <w:tcW w:w="2034" w:type="dxa"/>
          </w:tcPr>
          <w:p w14:paraId="3B6C74C3" w14:textId="77777777" w:rsidR="000540B3" w:rsidRPr="007810C1" w:rsidRDefault="000540B3" w:rsidP="003A6C5D">
            <w:pPr>
              <w:pStyle w:val="BodyText2"/>
              <w:tabs>
                <w:tab w:val="left" w:pos="5220"/>
              </w:tabs>
              <w:rPr>
                <w:sz w:val="22"/>
                <w:szCs w:val="22"/>
              </w:rPr>
            </w:pPr>
          </w:p>
        </w:tc>
        <w:tc>
          <w:tcPr>
            <w:tcW w:w="1980" w:type="dxa"/>
          </w:tcPr>
          <w:p w14:paraId="0F8C9735" w14:textId="77777777" w:rsidR="000540B3" w:rsidRPr="007810C1" w:rsidRDefault="000540B3" w:rsidP="00E014DD">
            <w:pPr>
              <w:pStyle w:val="BodyText2"/>
              <w:tabs>
                <w:tab w:val="left" w:pos="5220"/>
              </w:tabs>
              <w:rPr>
                <w:sz w:val="22"/>
                <w:szCs w:val="22"/>
              </w:rPr>
            </w:pPr>
          </w:p>
        </w:tc>
        <w:tc>
          <w:tcPr>
            <w:tcW w:w="1980" w:type="dxa"/>
          </w:tcPr>
          <w:p w14:paraId="4AC82BD0" w14:textId="32DE270B" w:rsidR="000540B3" w:rsidRPr="007810C1" w:rsidRDefault="000540B3" w:rsidP="00E014DD">
            <w:pPr>
              <w:pStyle w:val="BodyText2"/>
              <w:tabs>
                <w:tab w:val="left" w:pos="5220"/>
              </w:tabs>
              <w:rPr>
                <w:sz w:val="22"/>
                <w:szCs w:val="22"/>
              </w:rPr>
            </w:pPr>
          </w:p>
        </w:tc>
      </w:tr>
      <w:tr w:rsidR="000540B3" w:rsidRPr="00D25DF8" w14:paraId="773676A7" w14:textId="77777777" w:rsidTr="000540B3">
        <w:tc>
          <w:tcPr>
            <w:tcW w:w="4644" w:type="dxa"/>
          </w:tcPr>
          <w:p w14:paraId="1955F759" w14:textId="77777777" w:rsidR="000540B3" w:rsidRPr="007810C1" w:rsidRDefault="000540B3" w:rsidP="003A6C5D">
            <w:pPr>
              <w:pStyle w:val="BodyText2"/>
              <w:tabs>
                <w:tab w:val="left" w:pos="5220"/>
              </w:tabs>
              <w:rPr>
                <w:sz w:val="22"/>
                <w:szCs w:val="22"/>
              </w:rPr>
            </w:pPr>
          </w:p>
        </w:tc>
        <w:tc>
          <w:tcPr>
            <w:tcW w:w="2034" w:type="dxa"/>
          </w:tcPr>
          <w:p w14:paraId="11FECF9A" w14:textId="77777777" w:rsidR="000540B3" w:rsidRPr="007810C1" w:rsidRDefault="000540B3" w:rsidP="003A6C5D">
            <w:pPr>
              <w:pStyle w:val="BodyText2"/>
              <w:tabs>
                <w:tab w:val="left" w:pos="5220"/>
              </w:tabs>
              <w:rPr>
                <w:sz w:val="22"/>
                <w:szCs w:val="22"/>
              </w:rPr>
            </w:pPr>
          </w:p>
        </w:tc>
        <w:tc>
          <w:tcPr>
            <w:tcW w:w="1980" w:type="dxa"/>
          </w:tcPr>
          <w:p w14:paraId="2D004D8C" w14:textId="77777777" w:rsidR="000540B3" w:rsidRPr="007810C1" w:rsidRDefault="000540B3" w:rsidP="00E014DD">
            <w:pPr>
              <w:pStyle w:val="BodyText2"/>
              <w:tabs>
                <w:tab w:val="left" w:pos="5220"/>
              </w:tabs>
              <w:rPr>
                <w:sz w:val="22"/>
                <w:szCs w:val="22"/>
              </w:rPr>
            </w:pPr>
          </w:p>
        </w:tc>
        <w:tc>
          <w:tcPr>
            <w:tcW w:w="1980" w:type="dxa"/>
          </w:tcPr>
          <w:p w14:paraId="776EF83F" w14:textId="1F91874D" w:rsidR="000540B3" w:rsidRPr="007810C1" w:rsidRDefault="000540B3" w:rsidP="00E014DD">
            <w:pPr>
              <w:pStyle w:val="BodyText2"/>
              <w:tabs>
                <w:tab w:val="left" w:pos="5220"/>
              </w:tabs>
              <w:rPr>
                <w:sz w:val="22"/>
                <w:szCs w:val="22"/>
              </w:rPr>
            </w:pPr>
          </w:p>
        </w:tc>
      </w:tr>
      <w:tr w:rsidR="000540B3" w:rsidRPr="00D25DF8" w14:paraId="4E6920BE" w14:textId="77777777" w:rsidTr="000540B3">
        <w:tc>
          <w:tcPr>
            <w:tcW w:w="4644" w:type="dxa"/>
          </w:tcPr>
          <w:p w14:paraId="7F72E8EA" w14:textId="77777777" w:rsidR="000540B3" w:rsidRPr="007810C1" w:rsidRDefault="000540B3" w:rsidP="003A6C5D">
            <w:pPr>
              <w:pStyle w:val="BodyText2"/>
              <w:tabs>
                <w:tab w:val="left" w:pos="5220"/>
              </w:tabs>
              <w:rPr>
                <w:sz w:val="22"/>
                <w:szCs w:val="22"/>
              </w:rPr>
            </w:pPr>
            <w:r w:rsidRPr="007810C1">
              <w:rPr>
                <w:sz w:val="22"/>
                <w:szCs w:val="22"/>
              </w:rPr>
              <w:t>Ratios to average net assets</w:t>
            </w:r>
          </w:p>
        </w:tc>
        <w:tc>
          <w:tcPr>
            <w:tcW w:w="2034" w:type="dxa"/>
          </w:tcPr>
          <w:p w14:paraId="765E49C6" w14:textId="77777777" w:rsidR="000540B3" w:rsidRPr="007810C1" w:rsidRDefault="000540B3" w:rsidP="003A6C5D">
            <w:pPr>
              <w:pStyle w:val="BodyText2"/>
              <w:tabs>
                <w:tab w:val="left" w:pos="5220"/>
              </w:tabs>
              <w:rPr>
                <w:sz w:val="22"/>
                <w:szCs w:val="22"/>
              </w:rPr>
            </w:pPr>
          </w:p>
        </w:tc>
        <w:tc>
          <w:tcPr>
            <w:tcW w:w="1980" w:type="dxa"/>
          </w:tcPr>
          <w:p w14:paraId="780B76BB" w14:textId="77777777" w:rsidR="000540B3" w:rsidRPr="007810C1" w:rsidRDefault="000540B3" w:rsidP="00E014DD">
            <w:pPr>
              <w:pStyle w:val="BodyText2"/>
              <w:tabs>
                <w:tab w:val="left" w:pos="5220"/>
              </w:tabs>
              <w:rPr>
                <w:sz w:val="22"/>
                <w:szCs w:val="22"/>
              </w:rPr>
            </w:pPr>
          </w:p>
        </w:tc>
        <w:tc>
          <w:tcPr>
            <w:tcW w:w="1980" w:type="dxa"/>
          </w:tcPr>
          <w:p w14:paraId="1A411902" w14:textId="7FABACA7" w:rsidR="000540B3" w:rsidRPr="007810C1" w:rsidRDefault="000540B3" w:rsidP="00E014DD">
            <w:pPr>
              <w:pStyle w:val="BodyText2"/>
              <w:tabs>
                <w:tab w:val="left" w:pos="5220"/>
              </w:tabs>
              <w:rPr>
                <w:sz w:val="22"/>
                <w:szCs w:val="22"/>
              </w:rPr>
            </w:pPr>
          </w:p>
        </w:tc>
      </w:tr>
      <w:tr w:rsidR="000540B3" w:rsidRPr="00D25DF8" w14:paraId="08E818FB" w14:textId="77777777" w:rsidTr="000540B3">
        <w:tc>
          <w:tcPr>
            <w:tcW w:w="4644" w:type="dxa"/>
          </w:tcPr>
          <w:p w14:paraId="3219E9A6" w14:textId="77777777" w:rsidR="000540B3" w:rsidRPr="007810C1" w:rsidRDefault="000540B3" w:rsidP="003A6C5D">
            <w:pPr>
              <w:pStyle w:val="BodyText2"/>
              <w:tabs>
                <w:tab w:val="left" w:pos="5220"/>
              </w:tabs>
              <w:rPr>
                <w:sz w:val="22"/>
                <w:szCs w:val="22"/>
              </w:rPr>
            </w:pPr>
          </w:p>
        </w:tc>
        <w:tc>
          <w:tcPr>
            <w:tcW w:w="2034" w:type="dxa"/>
          </w:tcPr>
          <w:p w14:paraId="272549DE" w14:textId="77777777" w:rsidR="000540B3" w:rsidRPr="007810C1" w:rsidRDefault="000540B3" w:rsidP="003A6C5D">
            <w:pPr>
              <w:pStyle w:val="BodyText2"/>
              <w:tabs>
                <w:tab w:val="left" w:pos="5220"/>
              </w:tabs>
              <w:rPr>
                <w:sz w:val="22"/>
                <w:szCs w:val="22"/>
              </w:rPr>
            </w:pPr>
          </w:p>
        </w:tc>
        <w:tc>
          <w:tcPr>
            <w:tcW w:w="1980" w:type="dxa"/>
          </w:tcPr>
          <w:p w14:paraId="4D51CE9F" w14:textId="77777777" w:rsidR="000540B3" w:rsidRPr="007810C1" w:rsidRDefault="000540B3" w:rsidP="00E014DD">
            <w:pPr>
              <w:pStyle w:val="BodyText2"/>
              <w:tabs>
                <w:tab w:val="left" w:pos="5220"/>
              </w:tabs>
              <w:rPr>
                <w:sz w:val="22"/>
                <w:szCs w:val="22"/>
              </w:rPr>
            </w:pPr>
          </w:p>
        </w:tc>
        <w:tc>
          <w:tcPr>
            <w:tcW w:w="1980" w:type="dxa"/>
          </w:tcPr>
          <w:p w14:paraId="5C8F84D7" w14:textId="6AD6CBB5" w:rsidR="000540B3" w:rsidRPr="007810C1" w:rsidRDefault="000540B3" w:rsidP="00E014DD">
            <w:pPr>
              <w:pStyle w:val="BodyText2"/>
              <w:tabs>
                <w:tab w:val="left" w:pos="5220"/>
              </w:tabs>
              <w:rPr>
                <w:sz w:val="22"/>
                <w:szCs w:val="22"/>
              </w:rPr>
            </w:pPr>
          </w:p>
        </w:tc>
      </w:tr>
      <w:tr w:rsidR="007810C1" w:rsidRPr="00D25DF8" w14:paraId="3AFB36FE" w14:textId="77777777" w:rsidTr="000540B3">
        <w:tc>
          <w:tcPr>
            <w:tcW w:w="4644" w:type="dxa"/>
          </w:tcPr>
          <w:p w14:paraId="4B1305BD" w14:textId="77777777" w:rsidR="007810C1" w:rsidRPr="007810C1" w:rsidRDefault="007810C1" w:rsidP="003A6C5D">
            <w:pPr>
              <w:pStyle w:val="BodyText2"/>
              <w:tabs>
                <w:tab w:val="left" w:pos="5220"/>
              </w:tabs>
              <w:ind w:left="720"/>
              <w:rPr>
                <w:sz w:val="22"/>
                <w:szCs w:val="22"/>
              </w:rPr>
            </w:pPr>
            <w:r w:rsidRPr="007810C1">
              <w:rPr>
                <w:sz w:val="22"/>
                <w:szCs w:val="22"/>
              </w:rPr>
              <w:t>Expenses other than performance fee</w:t>
            </w:r>
          </w:p>
        </w:tc>
        <w:tc>
          <w:tcPr>
            <w:tcW w:w="2034" w:type="dxa"/>
          </w:tcPr>
          <w:p w14:paraId="33CFF21C" w14:textId="7099EF96" w:rsidR="007810C1" w:rsidRPr="007810C1" w:rsidRDefault="007810C1" w:rsidP="003A6C5D">
            <w:pPr>
              <w:pStyle w:val="BodyText2"/>
              <w:tabs>
                <w:tab w:val="left" w:pos="5220"/>
              </w:tabs>
              <w:rPr>
                <w:sz w:val="22"/>
                <w:szCs w:val="22"/>
              </w:rPr>
            </w:pPr>
            <w:r w:rsidRPr="007810C1">
              <w:rPr>
                <w:sz w:val="22"/>
                <w:szCs w:val="22"/>
              </w:rPr>
              <w:t>(2.45)%</w:t>
            </w:r>
          </w:p>
        </w:tc>
        <w:tc>
          <w:tcPr>
            <w:tcW w:w="1980" w:type="dxa"/>
          </w:tcPr>
          <w:p w14:paraId="368F2FF2" w14:textId="6C7FD325" w:rsidR="007810C1" w:rsidRPr="007810C1" w:rsidRDefault="00C65DEE" w:rsidP="00E014DD">
            <w:pPr>
              <w:pStyle w:val="BodyText2"/>
              <w:tabs>
                <w:tab w:val="left" w:pos="5220"/>
              </w:tabs>
              <w:rPr>
                <w:sz w:val="22"/>
                <w:szCs w:val="22"/>
              </w:rPr>
            </w:pPr>
            <w:r>
              <w:rPr>
                <w:sz w:val="22"/>
                <w:szCs w:val="22"/>
              </w:rPr>
              <w:t>-</w:t>
            </w:r>
          </w:p>
        </w:tc>
        <w:tc>
          <w:tcPr>
            <w:tcW w:w="1980" w:type="dxa"/>
          </w:tcPr>
          <w:p w14:paraId="4B87FCD4" w14:textId="6D3A93A5" w:rsidR="007810C1" w:rsidRPr="007810C1" w:rsidRDefault="007810C1" w:rsidP="00E014DD">
            <w:pPr>
              <w:pStyle w:val="BodyText2"/>
              <w:tabs>
                <w:tab w:val="left" w:pos="5220"/>
              </w:tabs>
              <w:rPr>
                <w:sz w:val="22"/>
                <w:szCs w:val="22"/>
              </w:rPr>
            </w:pPr>
            <w:r w:rsidRPr="007810C1">
              <w:rPr>
                <w:sz w:val="22"/>
                <w:szCs w:val="22"/>
              </w:rPr>
              <w:t>(2.05)%</w:t>
            </w:r>
          </w:p>
        </w:tc>
      </w:tr>
      <w:tr w:rsidR="007810C1" w:rsidRPr="00D25DF8" w14:paraId="5848B244" w14:textId="77777777" w:rsidTr="000540B3">
        <w:tc>
          <w:tcPr>
            <w:tcW w:w="4644" w:type="dxa"/>
          </w:tcPr>
          <w:p w14:paraId="52799047" w14:textId="4A2D3A4A" w:rsidR="007810C1" w:rsidRPr="007810C1" w:rsidRDefault="007810C1" w:rsidP="003A6C5D">
            <w:pPr>
              <w:pStyle w:val="BodyText2"/>
              <w:tabs>
                <w:tab w:val="left" w:pos="5220"/>
              </w:tabs>
              <w:ind w:left="720"/>
              <w:rPr>
                <w:sz w:val="22"/>
                <w:szCs w:val="22"/>
              </w:rPr>
            </w:pPr>
            <w:r w:rsidRPr="007810C1">
              <w:rPr>
                <w:sz w:val="22"/>
                <w:szCs w:val="22"/>
              </w:rPr>
              <w:t>Performance fee</w:t>
            </w:r>
            <w:r w:rsidRPr="007810C1">
              <w:rPr>
                <w:sz w:val="16"/>
                <w:szCs w:val="16"/>
              </w:rPr>
              <w:t xml:space="preserve">* </w:t>
            </w:r>
          </w:p>
        </w:tc>
        <w:tc>
          <w:tcPr>
            <w:tcW w:w="2034" w:type="dxa"/>
          </w:tcPr>
          <w:p w14:paraId="1CA0E41D" w14:textId="19964180" w:rsidR="007810C1" w:rsidRPr="007810C1" w:rsidRDefault="007810C1" w:rsidP="003A6C5D">
            <w:pPr>
              <w:pStyle w:val="BodyText2"/>
              <w:tabs>
                <w:tab w:val="left" w:pos="5220"/>
              </w:tabs>
              <w:rPr>
                <w:sz w:val="22"/>
                <w:szCs w:val="22"/>
              </w:rPr>
            </w:pPr>
            <w:r w:rsidRPr="007810C1">
              <w:rPr>
                <w:sz w:val="22"/>
                <w:szCs w:val="22"/>
              </w:rPr>
              <w:t>(1.30)%</w:t>
            </w:r>
          </w:p>
        </w:tc>
        <w:tc>
          <w:tcPr>
            <w:tcW w:w="1980" w:type="dxa"/>
          </w:tcPr>
          <w:p w14:paraId="6054D17A" w14:textId="7ED41485" w:rsidR="007810C1" w:rsidRPr="007810C1" w:rsidRDefault="00C65DEE" w:rsidP="00E014DD">
            <w:pPr>
              <w:pStyle w:val="BodyText2"/>
              <w:tabs>
                <w:tab w:val="left" w:pos="5220"/>
              </w:tabs>
              <w:rPr>
                <w:sz w:val="22"/>
                <w:szCs w:val="22"/>
              </w:rPr>
            </w:pPr>
            <w:r>
              <w:rPr>
                <w:sz w:val="22"/>
                <w:szCs w:val="22"/>
              </w:rPr>
              <w:t>-</w:t>
            </w:r>
          </w:p>
        </w:tc>
        <w:tc>
          <w:tcPr>
            <w:tcW w:w="1980" w:type="dxa"/>
          </w:tcPr>
          <w:p w14:paraId="635BEAB9" w14:textId="3BD3E90F" w:rsidR="007810C1" w:rsidRPr="007810C1" w:rsidRDefault="007810C1" w:rsidP="00E014DD">
            <w:pPr>
              <w:pStyle w:val="BodyText2"/>
              <w:tabs>
                <w:tab w:val="left" w:pos="5220"/>
              </w:tabs>
              <w:rPr>
                <w:sz w:val="22"/>
                <w:szCs w:val="22"/>
              </w:rPr>
            </w:pPr>
            <w:r w:rsidRPr="007810C1">
              <w:rPr>
                <w:sz w:val="22"/>
                <w:szCs w:val="22"/>
              </w:rPr>
              <w:t>(1.47)%</w:t>
            </w:r>
          </w:p>
        </w:tc>
      </w:tr>
      <w:tr w:rsidR="000540B3" w:rsidRPr="00D25DF8" w14:paraId="4818CB46" w14:textId="77777777" w:rsidTr="000540B3">
        <w:tc>
          <w:tcPr>
            <w:tcW w:w="4644" w:type="dxa"/>
          </w:tcPr>
          <w:p w14:paraId="77EBCC97" w14:textId="77777777" w:rsidR="000540B3" w:rsidRPr="007810C1" w:rsidRDefault="000540B3" w:rsidP="003A6C5D">
            <w:pPr>
              <w:pStyle w:val="BodyText2"/>
              <w:tabs>
                <w:tab w:val="left" w:pos="5220"/>
              </w:tabs>
              <w:rPr>
                <w:sz w:val="22"/>
                <w:szCs w:val="22"/>
              </w:rPr>
            </w:pPr>
          </w:p>
        </w:tc>
        <w:tc>
          <w:tcPr>
            <w:tcW w:w="2034" w:type="dxa"/>
          </w:tcPr>
          <w:p w14:paraId="2C14C0A8" w14:textId="77777777" w:rsidR="000540B3" w:rsidRPr="007810C1" w:rsidRDefault="000540B3" w:rsidP="003A6C5D">
            <w:pPr>
              <w:pStyle w:val="BodyText2"/>
              <w:tabs>
                <w:tab w:val="left" w:pos="5220"/>
              </w:tabs>
              <w:rPr>
                <w:sz w:val="22"/>
                <w:szCs w:val="22"/>
              </w:rPr>
            </w:pPr>
          </w:p>
        </w:tc>
        <w:tc>
          <w:tcPr>
            <w:tcW w:w="1980" w:type="dxa"/>
          </w:tcPr>
          <w:p w14:paraId="47FC7F68" w14:textId="77777777" w:rsidR="000540B3" w:rsidRPr="007810C1" w:rsidRDefault="000540B3" w:rsidP="00E014DD">
            <w:pPr>
              <w:pStyle w:val="BodyText2"/>
              <w:tabs>
                <w:tab w:val="left" w:pos="5220"/>
              </w:tabs>
              <w:rPr>
                <w:sz w:val="22"/>
                <w:szCs w:val="22"/>
              </w:rPr>
            </w:pPr>
          </w:p>
        </w:tc>
        <w:tc>
          <w:tcPr>
            <w:tcW w:w="1980" w:type="dxa"/>
          </w:tcPr>
          <w:p w14:paraId="332FB3FD" w14:textId="30F52796" w:rsidR="000540B3" w:rsidRPr="007810C1" w:rsidRDefault="000540B3" w:rsidP="00E014DD">
            <w:pPr>
              <w:pStyle w:val="BodyText2"/>
              <w:tabs>
                <w:tab w:val="left" w:pos="5220"/>
              </w:tabs>
              <w:rPr>
                <w:sz w:val="22"/>
                <w:szCs w:val="22"/>
              </w:rPr>
            </w:pPr>
          </w:p>
        </w:tc>
      </w:tr>
      <w:tr w:rsidR="000540B3" w:rsidRPr="00D25DF8" w14:paraId="5C8AF908" w14:textId="77777777" w:rsidTr="000540B3">
        <w:tc>
          <w:tcPr>
            <w:tcW w:w="4644" w:type="dxa"/>
          </w:tcPr>
          <w:p w14:paraId="7A3B1883" w14:textId="77777777" w:rsidR="000540B3" w:rsidRPr="007810C1" w:rsidRDefault="000540B3" w:rsidP="003A6C5D">
            <w:pPr>
              <w:pStyle w:val="BodyText2"/>
              <w:tabs>
                <w:tab w:val="left" w:pos="5220"/>
              </w:tabs>
              <w:rPr>
                <w:sz w:val="22"/>
                <w:szCs w:val="22"/>
              </w:rPr>
            </w:pPr>
          </w:p>
        </w:tc>
        <w:tc>
          <w:tcPr>
            <w:tcW w:w="2034" w:type="dxa"/>
          </w:tcPr>
          <w:p w14:paraId="482862DC" w14:textId="77777777" w:rsidR="000540B3" w:rsidRPr="007810C1" w:rsidRDefault="000540B3" w:rsidP="003A6C5D">
            <w:pPr>
              <w:pStyle w:val="BodyText2"/>
              <w:tabs>
                <w:tab w:val="left" w:pos="5220"/>
              </w:tabs>
              <w:rPr>
                <w:sz w:val="22"/>
                <w:szCs w:val="22"/>
              </w:rPr>
            </w:pPr>
          </w:p>
        </w:tc>
        <w:tc>
          <w:tcPr>
            <w:tcW w:w="1980" w:type="dxa"/>
          </w:tcPr>
          <w:p w14:paraId="5CC7B180" w14:textId="77777777" w:rsidR="000540B3" w:rsidRPr="007810C1" w:rsidRDefault="000540B3" w:rsidP="00E014DD">
            <w:pPr>
              <w:pStyle w:val="BodyText2"/>
              <w:tabs>
                <w:tab w:val="left" w:pos="5220"/>
              </w:tabs>
              <w:rPr>
                <w:sz w:val="22"/>
                <w:szCs w:val="22"/>
              </w:rPr>
            </w:pPr>
          </w:p>
        </w:tc>
        <w:tc>
          <w:tcPr>
            <w:tcW w:w="1980" w:type="dxa"/>
          </w:tcPr>
          <w:p w14:paraId="506562C5" w14:textId="3CB0916C" w:rsidR="000540B3" w:rsidRPr="007810C1" w:rsidRDefault="000540B3" w:rsidP="00E014DD">
            <w:pPr>
              <w:pStyle w:val="BodyText2"/>
              <w:tabs>
                <w:tab w:val="left" w:pos="5220"/>
              </w:tabs>
              <w:rPr>
                <w:sz w:val="22"/>
                <w:szCs w:val="22"/>
              </w:rPr>
            </w:pPr>
          </w:p>
        </w:tc>
      </w:tr>
      <w:tr w:rsidR="000540B3" w:rsidRPr="00D25DF8" w14:paraId="17FE8FC3" w14:textId="77777777" w:rsidTr="000540B3">
        <w:tc>
          <w:tcPr>
            <w:tcW w:w="4644" w:type="dxa"/>
          </w:tcPr>
          <w:p w14:paraId="5A807D19" w14:textId="77777777" w:rsidR="000540B3" w:rsidRPr="007810C1" w:rsidRDefault="000540B3" w:rsidP="003A6C5D">
            <w:pPr>
              <w:pStyle w:val="BodyText2"/>
              <w:tabs>
                <w:tab w:val="left" w:pos="5220"/>
              </w:tabs>
              <w:rPr>
                <w:sz w:val="22"/>
                <w:szCs w:val="22"/>
              </w:rPr>
            </w:pPr>
            <w:r w:rsidRPr="007810C1">
              <w:rPr>
                <w:sz w:val="22"/>
                <w:szCs w:val="22"/>
              </w:rPr>
              <w:t>Total expenses after performance fee</w:t>
            </w:r>
          </w:p>
        </w:tc>
        <w:tc>
          <w:tcPr>
            <w:tcW w:w="2034" w:type="dxa"/>
          </w:tcPr>
          <w:p w14:paraId="0E4C1615" w14:textId="384ACA27" w:rsidR="000540B3" w:rsidRPr="007810C1" w:rsidRDefault="007810C1" w:rsidP="003A6C5D">
            <w:pPr>
              <w:pStyle w:val="BodyText2"/>
              <w:tabs>
                <w:tab w:val="left" w:pos="5220"/>
              </w:tabs>
              <w:rPr>
                <w:sz w:val="22"/>
                <w:szCs w:val="22"/>
              </w:rPr>
            </w:pPr>
            <w:r w:rsidRPr="007810C1">
              <w:rPr>
                <w:sz w:val="22"/>
                <w:szCs w:val="22"/>
              </w:rPr>
              <w:t>(3.75</w:t>
            </w:r>
            <w:r w:rsidR="000540B3" w:rsidRPr="007810C1">
              <w:rPr>
                <w:sz w:val="22"/>
                <w:szCs w:val="22"/>
              </w:rPr>
              <w:t>)%</w:t>
            </w:r>
          </w:p>
        </w:tc>
        <w:tc>
          <w:tcPr>
            <w:tcW w:w="1980" w:type="dxa"/>
          </w:tcPr>
          <w:p w14:paraId="10744D77" w14:textId="292429AE" w:rsidR="000540B3" w:rsidRPr="007810C1" w:rsidRDefault="00C65DEE" w:rsidP="00E014DD">
            <w:pPr>
              <w:pStyle w:val="BodyText2"/>
              <w:tabs>
                <w:tab w:val="left" w:pos="5220"/>
              </w:tabs>
              <w:rPr>
                <w:sz w:val="22"/>
                <w:szCs w:val="22"/>
              </w:rPr>
            </w:pPr>
            <w:r>
              <w:rPr>
                <w:sz w:val="22"/>
                <w:szCs w:val="22"/>
              </w:rPr>
              <w:t>-</w:t>
            </w:r>
          </w:p>
        </w:tc>
        <w:tc>
          <w:tcPr>
            <w:tcW w:w="1980" w:type="dxa"/>
          </w:tcPr>
          <w:p w14:paraId="17F7C99F" w14:textId="51F7645F" w:rsidR="000540B3" w:rsidRPr="007810C1" w:rsidRDefault="007810C1" w:rsidP="00E014DD">
            <w:pPr>
              <w:pStyle w:val="BodyText2"/>
              <w:tabs>
                <w:tab w:val="left" w:pos="5220"/>
              </w:tabs>
              <w:rPr>
                <w:sz w:val="22"/>
                <w:szCs w:val="22"/>
              </w:rPr>
            </w:pPr>
            <w:r w:rsidRPr="007810C1">
              <w:rPr>
                <w:sz w:val="22"/>
                <w:szCs w:val="22"/>
              </w:rPr>
              <w:t>(3.</w:t>
            </w:r>
            <w:r w:rsidR="00C65DEE">
              <w:rPr>
                <w:sz w:val="22"/>
                <w:szCs w:val="22"/>
              </w:rPr>
              <w:t>5</w:t>
            </w:r>
            <w:r w:rsidRPr="007810C1">
              <w:rPr>
                <w:sz w:val="22"/>
                <w:szCs w:val="22"/>
              </w:rPr>
              <w:t>2</w:t>
            </w:r>
            <w:r w:rsidR="000540B3" w:rsidRPr="007810C1">
              <w:rPr>
                <w:sz w:val="22"/>
                <w:szCs w:val="22"/>
              </w:rPr>
              <w:t>)%</w:t>
            </w:r>
          </w:p>
        </w:tc>
      </w:tr>
      <w:tr w:rsidR="000540B3" w:rsidRPr="00D25DF8" w14:paraId="3738E1D8" w14:textId="77777777" w:rsidTr="000540B3">
        <w:tc>
          <w:tcPr>
            <w:tcW w:w="4644" w:type="dxa"/>
          </w:tcPr>
          <w:p w14:paraId="1BDDEBC2" w14:textId="77777777" w:rsidR="000540B3" w:rsidRPr="007810C1" w:rsidRDefault="000540B3" w:rsidP="003A6C5D">
            <w:pPr>
              <w:pStyle w:val="BodyText2"/>
              <w:tabs>
                <w:tab w:val="left" w:pos="5220"/>
              </w:tabs>
              <w:rPr>
                <w:sz w:val="22"/>
                <w:szCs w:val="22"/>
              </w:rPr>
            </w:pPr>
          </w:p>
        </w:tc>
        <w:tc>
          <w:tcPr>
            <w:tcW w:w="2034" w:type="dxa"/>
          </w:tcPr>
          <w:p w14:paraId="2BAA22A2" w14:textId="77777777" w:rsidR="000540B3" w:rsidRPr="007810C1" w:rsidRDefault="000540B3" w:rsidP="003A6C5D">
            <w:pPr>
              <w:pStyle w:val="BodyText2"/>
              <w:tabs>
                <w:tab w:val="left" w:pos="5220"/>
              </w:tabs>
              <w:rPr>
                <w:sz w:val="22"/>
                <w:szCs w:val="22"/>
              </w:rPr>
            </w:pPr>
          </w:p>
        </w:tc>
        <w:tc>
          <w:tcPr>
            <w:tcW w:w="1980" w:type="dxa"/>
          </w:tcPr>
          <w:p w14:paraId="392E47B4" w14:textId="77777777" w:rsidR="000540B3" w:rsidRPr="007810C1" w:rsidRDefault="000540B3" w:rsidP="00E014DD">
            <w:pPr>
              <w:pStyle w:val="BodyText2"/>
              <w:tabs>
                <w:tab w:val="left" w:pos="5220"/>
              </w:tabs>
              <w:rPr>
                <w:sz w:val="22"/>
                <w:szCs w:val="22"/>
              </w:rPr>
            </w:pPr>
          </w:p>
        </w:tc>
        <w:tc>
          <w:tcPr>
            <w:tcW w:w="1980" w:type="dxa"/>
          </w:tcPr>
          <w:p w14:paraId="38FF5A53" w14:textId="58CC859A" w:rsidR="000540B3" w:rsidRPr="007810C1" w:rsidRDefault="000540B3" w:rsidP="00E014DD">
            <w:pPr>
              <w:pStyle w:val="BodyText2"/>
              <w:tabs>
                <w:tab w:val="left" w:pos="5220"/>
              </w:tabs>
              <w:rPr>
                <w:sz w:val="22"/>
                <w:szCs w:val="22"/>
              </w:rPr>
            </w:pPr>
          </w:p>
        </w:tc>
      </w:tr>
      <w:tr w:rsidR="000540B3" w:rsidRPr="00D25DF8" w14:paraId="68B79F49" w14:textId="77777777" w:rsidTr="000540B3">
        <w:tc>
          <w:tcPr>
            <w:tcW w:w="4644" w:type="dxa"/>
          </w:tcPr>
          <w:p w14:paraId="1C3CDE15" w14:textId="77777777" w:rsidR="000540B3" w:rsidRPr="007810C1" w:rsidRDefault="000540B3" w:rsidP="003A6C5D">
            <w:pPr>
              <w:pStyle w:val="BodyText2"/>
              <w:tabs>
                <w:tab w:val="left" w:pos="5220"/>
              </w:tabs>
              <w:rPr>
                <w:sz w:val="22"/>
                <w:szCs w:val="22"/>
              </w:rPr>
            </w:pPr>
          </w:p>
        </w:tc>
        <w:tc>
          <w:tcPr>
            <w:tcW w:w="2034" w:type="dxa"/>
          </w:tcPr>
          <w:p w14:paraId="66209176" w14:textId="77777777" w:rsidR="000540B3" w:rsidRPr="007810C1" w:rsidRDefault="000540B3" w:rsidP="003A6C5D">
            <w:pPr>
              <w:pStyle w:val="BodyText2"/>
              <w:tabs>
                <w:tab w:val="left" w:pos="5220"/>
              </w:tabs>
              <w:rPr>
                <w:sz w:val="22"/>
                <w:szCs w:val="22"/>
              </w:rPr>
            </w:pPr>
          </w:p>
        </w:tc>
        <w:tc>
          <w:tcPr>
            <w:tcW w:w="1980" w:type="dxa"/>
          </w:tcPr>
          <w:p w14:paraId="673076AD" w14:textId="77777777" w:rsidR="000540B3" w:rsidRPr="007810C1" w:rsidRDefault="000540B3" w:rsidP="00E014DD">
            <w:pPr>
              <w:pStyle w:val="BodyText2"/>
              <w:tabs>
                <w:tab w:val="left" w:pos="5220"/>
              </w:tabs>
              <w:rPr>
                <w:sz w:val="22"/>
                <w:szCs w:val="22"/>
              </w:rPr>
            </w:pPr>
          </w:p>
        </w:tc>
        <w:tc>
          <w:tcPr>
            <w:tcW w:w="1980" w:type="dxa"/>
          </w:tcPr>
          <w:p w14:paraId="0A7940CD" w14:textId="3F81874D" w:rsidR="000540B3" w:rsidRPr="007810C1" w:rsidRDefault="000540B3" w:rsidP="00E014DD">
            <w:pPr>
              <w:pStyle w:val="BodyText2"/>
              <w:tabs>
                <w:tab w:val="left" w:pos="5220"/>
              </w:tabs>
              <w:rPr>
                <w:sz w:val="22"/>
                <w:szCs w:val="22"/>
              </w:rPr>
            </w:pPr>
          </w:p>
        </w:tc>
      </w:tr>
      <w:tr w:rsidR="000540B3" w:rsidRPr="00D25DF8" w14:paraId="642847B9" w14:textId="77777777" w:rsidTr="000540B3">
        <w:tc>
          <w:tcPr>
            <w:tcW w:w="4644" w:type="dxa"/>
          </w:tcPr>
          <w:p w14:paraId="676690CE" w14:textId="77777777" w:rsidR="000540B3" w:rsidRPr="007810C1" w:rsidRDefault="000540B3" w:rsidP="003A6C5D">
            <w:pPr>
              <w:pStyle w:val="BodyText2"/>
              <w:tabs>
                <w:tab w:val="left" w:pos="5220"/>
              </w:tabs>
              <w:rPr>
                <w:sz w:val="22"/>
                <w:szCs w:val="22"/>
              </w:rPr>
            </w:pPr>
            <w:r w:rsidRPr="007810C1">
              <w:rPr>
                <w:sz w:val="22"/>
                <w:szCs w:val="22"/>
              </w:rPr>
              <w:t>Net investment loss</w:t>
            </w:r>
          </w:p>
        </w:tc>
        <w:tc>
          <w:tcPr>
            <w:tcW w:w="2034" w:type="dxa"/>
          </w:tcPr>
          <w:p w14:paraId="64CE0E25" w14:textId="477B8B29" w:rsidR="000540B3" w:rsidRPr="007810C1" w:rsidRDefault="007810C1" w:rsidP="003A6C5D">
            <w:pPr>
              <w:pStyle w:val="BodyText2"/>
              <w:tabs>
                <w:tab w:val="left" w:pos="5220"/>
              </w:tabs>
              <w:rPr>
                <w:sz w:val="22"/>
                <w:szCs w:val="22"/>
              </w:rPr>
            </w:pPr>
            <w:r w:rsidRPr="007810C1">
              <w:rPr>
                <w:sz w:val="22"/>
                <w:szCs w:val="22"/>
              </w:rPr>
              <w:t>(3.89</w:t>
            </w:r>
            <w:r w:rsidR="000540B3" w:rsidRPr="007810C1">
              <w:rPr>
                <w:sz w:val="22"/>
                <w:szCs w:val="22"/>
              </w:rPr>
              <w:t>)%</w:t>
            </w:r>
          </w:p>
        </w:tc>
        <w:tc>
          <w:tcPr>
            <w:tcW w:w="1980" w:type="dxa"/>
          </w:tcPr>
          <w:p w14:paraId="14BC8CB5" w14:textId="6B5FB952" w:rsidR="000540B3" w:rsidRPr="007810C1" w:rsidRDefault="00C65DEE" w:rsidP="00E014DD">
            <w:pPr>
              <w:pStyle w:val="BodyText2"/>
              <w:tabs>
                <w:tab w:val="left" w:pos="5220"/>
              </w:tabs>
              <w:rPr>
                <w:sz w:val="22"/>
                <w:szCs w:val="22"/>
              </w:rPr>
            </w:pPr>
            <w:r>
              <w:rPr>
                <w:sz w:val="22"/>
                <w:szCs w:val="22"/>
              </w:rPr>
              <w:t>-</w:t>
            </w:r>
          </w:p>
        </w:tc>
        <w:tc>
          <w:tcPr>
            <w:tcW w:w="1980" w:type="dxa"/>
          </w:tcPr>
          <w:p w14:paraId="50017D14" w14:textId="4CD58D4E" w:rsidR="000540B3" w:rsidRPr="007810C1" w:rsidRDefault="007810C1" w:rsidP="00E014DD">
            <w:pPr>
              <w:pStyle w:val="BodyText2"/>
              <w:tabs>
                <w:tab w:val="left" w:pos="5220"/>
              </w:tabs>
              <w:rPr>
                <w:sz w:val="22"/>
                <w:szCs w:val="22"/>
              </w:rPr>
            </w:pPr>
            <w:r w:rsidRPr="007810C1">
              <w:rPr>
                <w:sz w:val="22"/>
                <w:szCs w:val="22"/>
              </w:rPr>
              <w:t>(3.54</w:t>
            </w:r>
            <w:r w:rsidR="000540B3" w:rsidRPr="007810C1">
              <w:rPr>
                <w:sz w:val="22"/>
                <w:szCs w:val="22"/>
              </w:rPr>
              <w:t>)%</w:t>
            </w:r>
          </w:p>
        </w:tc>
      </w:tr>
      <w:tr w:rsidR="000540B3" w:rsidRPr="007810C1" w14:paraId="61CA3C6A" w14:textId="77777777" w:rsidTr="000540B3">
        <w:tc>
          <w:tcPr>
            <w:tcW w:w="4644" w:type="dxa"/>
          </w:tcPr>
          <w:p w14:paraId="78546DC7" w14:textId="77777777" w:rsidR="000540B3" w:rsidRPr="007810C1" w:rsidRDefault="000540B3" w:rsidP="003A6C5D">
            <w:pPr>
              <w:pStyle w:val="BodyText2"/>
              <w:tabs>
                <w:tab w:val="left" w:pos="5220"/>
              </w:tabs>
              <w:rPr>
                <w:sz w:val="22"/>
                <w:szCs w:val="22"/>
              </w:rPr>
            </w:pPr>
          </w:p>
        </w:tc>
        <w:tc>
          <w:tcPr>
            <w:tcW w:w="2034" w:type="dxa"/>
          </w:tcPr>
          <w:p w14:paraId="5A0468DF" w14:textId="77777777" w:rsidR="000540B3" w:rsidRPr="007810C1" w:rsidRDefault="000540B3" w:rsidP="003A6C5D">
            <w:pPr>
              <w:pStyle w:val="BodyText2"/>
              <w:tabs>
                <w:tab w:val="left" w:pos="5220"/>
              </w:tabs>
              <w:rPr>
                <w:sz w:val="22"/>
                <w:szCs w:val="22"/>
              </w:rPr>
            </w:pPr>
          </w:p>
        </w:tc>
        <w:tc>
          <w:tcPr>
            <w:tcW w:w="1980" w:type="dxa"/>
          </w:tcPr>
          <w:p w14:paraId="556CCC41" w14:textId="77777777" w:rsidR="000540B3" w:rsidRPr="007810C1" w:rsidRDefault="000540B3" w:rsidP="003A6C5D">
            <w:pPr>
              <w:pStyle w:val="BodyText2"/>
              <w:tabs>
                <w:tab w:val="left" w:pos="5220"/>
              </w:tabs>
              <w:rPr>
                <w:sz w:val="22"/>
                <w:szCs w:val="22"/>
              </w:rPr>
            </w:pPr>
          </w:p>
        </w:tc>
        <w:tc>
          <w:tcPr>
            <w:tcW w:w="1980" w:type="dxa"/>
          </w:tcPr>
          <w:p w14:paraId="76381D55" w14:textId="206ECAF5" w:rsidR="000540B3" w:rsidRPr="007810C1" w:rsidRDefault="000540B3" w:rsidP="003A6C5D">
            <w:pPr>
              <w:pStyle w:val="BodyText2"/>
              <w:tabs>
                <w:tab w:val="left" w:pos="5220"/>
              </w:tabs>
              <w:rPr>
                <w:sz w:val="22"/>
                <w:szCs w:val="22"/>
              </w:rPr>
            </w:pPr>
          </w:p>
        </w:tc>
      </w:tr>
    </w:tbl>
    <w:p w14:paraId="267C9623" w14:textId="77777777" w:rsidR="003A6C5D" w:rsidRPr="007810C1" w:rsidRDefault="003A6C5D" w:rsidP="003A6C5D">
      <w:pPr>
        <w:rPr>
          <w:szCs w:val="22"/>
        </w:rPr>
      </w:pPr>
    </w:p>
    <w:p w14:paraId="14987836" w14:textId="4A43362D" w:rsidR="009E7790" w:rsidRPr="007810C1" w:rsidRDefault="001A5FB0" w:rsidP="00307691">
      <w:pPr>
        <w:pStyle w:val="BodyText"/>
        <w:tabs>
          <w:tab w:val="left" w:pos="464"/>
        </w:tabs>
        <w:kinsoku w:val="0"/>
        <w:overflowPunct w:val="0"/>
        <w:spacing w:before="18"/>
        <w:ind w:left="464" w:hanging="464"/>
        <w:rPr>
          <w:sz w:val="14"/>
          <w:szCs w:val="14"/>
        </w:rPr>
      </w:pPr>
      <w:r w:rsidRPr="007810C1">
        <w:rPr>
          <w:rFonts w:cs="Arial"/>
          <w:sz w:val="16"/>
          <w:szCs w:val="16"/>
        </w:rPr>
        <w:t>†</w:t>
      </w:r>
      <w:r w:rsidRPr="007810C1">
        <w:rPr>
          <w:rFonts w:cs="Arial"/>
          <w:sz w:val="16"/>
          <w:szCs w:val="16"/>
        </w:rPr>
        <w:tab/>
      </w:r>
      <w:r w:rsidR="009E7790" w:rsidRPr="007810C1">
        <w:rPr>
          <w:rFonts w:cs="Arial"/>
          <w:spacing w:val="0"/>
          <w:sz w:val="16"/>
          <w:szCs w:val="16"/>
        </w:rPr>
        <w:t>Adjusting the opening capital to r</w:t>
      </w:r>
      <w:r w:rsidR="007810C1" w:rsidRPr="007810C1">
        <w:rPr>
          <w:rFonts w:cs="Arial"/>
          <w:spacing w:val="0"/>
          <w:sz w:val="16"/>
          <w:szCs w:val="16"/>
        </w:rPr>
        <w:t>eﬂect the dividend declared on 14 January 2014</w:t>
      </w:r>
      <w:r w:rsidR="009E7790" w:rsidRPr="007810C1">
        <w:rPr>
          <w:rFonts w:cs="Arial"/>
          <w:spacing w:val="0"/>
          <w:sz w:val="16"/>
          <w:szCs w:val="16"/>
        </w:rPr>
        <w:t xml:space="preserve">, the </w:t>
      </w:r>
      <w:proofErr w:type="spellStart"/>
      <w:r w:rsidR="007810C1" w:rsidRPr="007810C1">
        <w:rPr>
          <w:rFonts w:cs="Arial"/>
          <w:spacing w:val="0"/>
          <w:sz w:val="16"/>
          <w:szCs w:val="16"/>
        </w:rPr>
        <w:t>normalised</w:t>
      </w:r>
      <w:proofErr w:type="spellEnd"/>
      <w:r w:rsidR="007810C1" w:rsidRPr="007810C1">
        <w:rPr>
          <w:rFonts w:cs="Arial"/>
          <w:spacing w:val="0"/>
          <w:sz w:val="16"/>
          <w:szCs w:val="16"/>
        </w:rPr>
        <w:t xml:space="preserve"> total return for 2014 is equivalent to 14.08</w:t>
      </w:r>
      <w:r w:rsidR="009E7790" w:rsidRPr="007810C1">
        <w:rPr>
          <w:rFonts w:cs="Arial"/>
          <w:spacing w:val="0"/>
          <w:sz w:val="16"/>
          <w:szCs w:val="16"/>
        </w:rPr>
        <w:t>%</w:t>
      </w:r>
    </w:p>
    <w:p w14:paraId="38486BA3" w14:textId="77777777" w:rsidR="00E50CFB" w:rsidRPr="007810C1" w:rsidRDefault="00E50CFB" w:rsidP="00E50C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6"/>
          <w:szCs w:val="16"/>
        </w:rPr>
      </w:pPr>
    </w:p>
    <w:p w14:paraId="4D5612A6" w14:textId="1AD27B5D" w:rsidR="00B23E41" w:rsidRPr="007810C1" w:rsidRDefault="007810C1" w:rsidP="00307691">
      <w:pPr>
        <w:widowControl w:val="0"/>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ight="-61" w:hanging="450"/>
        <w:rPr>
          <w:rFonts w:cs="Arial"/>
          <w:sz w:val="16"/>
          <w:szCs w:val="16"/>
        </w:rPr>
      </w:pPr>
      <w:r w:rsidRPr="007810C1">
        <w:rPr>
          <w:sz w:val="12"/>
          <w:szCs w:val="12"/>
        </w:rPr>
        <w:sym w:font="Wingdings 3" w:char="F072"/>
      </w:r>
      <w:r w:rsidR="003F0D02" w:rsidRPr="007810C1">
        <w:rPr>
          <w:rFonts w:cs="Arial"/>
          <w:sz w:val="16"/>
          <w:szCs w:val="16"/>
        </w:rPr>
        <w:tab/>
      </w:r>
      <w:r w:rsidR="009E7790" w:rsidRPr="007810C1">
        <w:rPr>
          <w:rFonts w:cs="Arial"/>
          <w:sz w:val="16"/>
          <w:szCs w:val="16"/>
        </w:rPr>
        <w:t>Adjusting the opening capital to re</w:t>
      </w:r>
      <w:r w:rsidRPr="007810C1">
        <w:rPr>
          <w:rFonts w:cs="Arial"/>
          <w:sz w:val="16"/>
          <w:szCs w:val="16"/>
        </w:rPr>
        <w:t>ﬂect the dividend declared on 5 January 2015</w:t>
      </w:r>
      <w:r w:rsidR="009E7790" w:rsidRPr="007810C1">
        <w:rPr>
          <w:rFonts w:cs="Arial"/>
          <w:sz w:val="16"/>
          <w:szCs w:val="16"/>
        </w:rPr>
        <w:t xml:space="preserve">, the </w:t>
      </w:r>
      <w:proofErr w:type="spellStart"/>
      <w:r w:rsidR="009E7790" w:rsidRPr="007810C1">
        <w:rPr>
          <w:rFonts w:cs="Arial"/>
          <w:sz w:val="16"/>
          <w:szCs w:val="16"/>
        </w:rPr>
        <w:t>normalised</w:t>
      </w:r>
      <w:proofErr w:type="spellEnd"/>
      <w:r w:rsidR="009E7790" w:rsidRPr="007810C1">
        <w:rPr>
          <w:rFonts w:cs="Arial"/>
          <w:sz w:val="16"/>
          <w:szCs w:val="16"/>
        </w:rPr>
        <w:t xml:space="preserve"> total r</w:t>
      </w:r>
      <w:r w:rsidR="00307691" w:rsidRPr="007810C1">
        <w:rPr>
          <w:rFonts w:cs="Arial"/>
          <w:sz w:val="16"/>
          <w:szCs w:val="16"/>
        </w:rPr>
        <w:t>eturn for 201</w:t>
      </w:r>
      <w:r w:rsidR="00C65DEE">
        <w:rPr>
          <w:rFonts w:cs="Arial"/>
          <w:sz w:val="16"/>
          <w:szCs w:val="16"/>
        </w:rPr>
        <w:t>5</w:t>
      </w:r>
      <w:r w:rsidR="00307691" w:rsidRPr="007810C1">
        <w:rPr>
          <w:rFonts w:cs="Arial"/>
          <w:sz w:val="16"/>
          <w:szCs w:val="16"/>
        </w:rPr>
        <w:t xml:space="preserve"> is equivalent to </w:t>
      </w:r>
      <w:r w:rsidRPr="007810C1">
        <w:rPr>
          <w:rFonts w:cs="Arial"/>
          <w:sz w:val="16"/>
          <w:szCs w:val="16"/>
        </w:rPr>
        <w:t>11.58</w:t>
      </w:r>
      <w:r w:rsidR="00ED4E93" w:rsidRPr="007810C1">
        <w:rPr>
          <w:rFonts w:cs="Arial"/>
          <w:sz w:val="16"/>
          <w:szCs w:val="16"/>
        </w:rPr>
        <w:t>%</w:t>
      </w:r>
    </w:p>
    <w:p w14:paraId="7A163A40" w14:textId="77777777" w:rsidR="00307691" w:rsidRPr="007810C1" w:rsidRDefault="00307691" w:rsidP="009E7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cs="Arial"/>
          <w:sz w:val="16"/>
          <w:szCs w:val="16"/>
        </w:rPr>
      </w:pPr>
    </w:p>
    <w:p w14:paraId="41C5A22F" w14:textId="77777777" w:rsidR="00307691" w:rsidRPr="00D25DF8" w:rsidRDefault="00307691" w:rsidP="00307691">
      <w:pPr>
        <w:widowControl w:val="0"/>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FF0000"/>
          <w:sz w:val="16"/>
          <w:szCs w:val="16"/>
        </w:rPr>
      </w:pPr>
      <w:r w:rsidRPr="007810C1">
        <w:rPr>
          <w:rFonts w:cs="Arial"/>
          <w:sz w:val="16"/>
          <w:szCs w:val="16"/>
        </w:rPr>
        <w:t>*</w:t>
      </w:r>
      <w:r w:rsidRPr="007810C1">
        <w:rPr>
          <w:rFonts w:cs="Arial"/>
          <w:sz w:val="16"/>
          <w:szCs w:val="16"/>
        </w:rPr>
        <w:tab/>
        <w:t>The performance fee is charged in the Master Fund</w:t>
      </w:r>
      <w:r w:rsidRPr="00D25DF8">
        <w:rPr>
          <w:rFonts w:cs="Arial"/>
          <w:color w:val="FF0000"/>
          <w:sz w:val="16"/>
          <w:szCs w:val="16"/>
        </w:rPr>
        <w:t>.</w:t>
      </w:r>
    </w:p>
    <w:p w14:paraId="55EBC582" w14:textId="77777777" w:rsidR="00307691" w:rsidRPr="00D25DF8" w:rsidRDefault="00307691" w:rsidP="009E7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cs="Arial"/>
          <w:color w:val="FF0000"/>
          <w:sz w:val="16"/>
          <w:szCs w:val="16"/>
        </w:rPr>
      </w:pPr>
    </w:p>
    <w:p w14:paraId="5104DD4C" w14:textId="77777777" w:rsidR="00E50CFB" w:rsidRPr="007810C1" w:rsidRDefault="00E50CFB" w:rsidP="00E50C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p>
    <w:p w14:paraId="42AA9AFB" w14:textId="1D721519" w:rsidR="009E7790" w:rsidRPr="007810C1" w:rsidRDefault="009E7790" w:rsidP="009E7790">
      <w:pPr>
        <w:pStyle w:val="BodyText"/>
        <w:tabs>
          <w:tab w:val="left" w:pos="9720"/>
        </w:tabs>
        <w:kinsoku w:val="0"/>
        <w:overflowPunct w:val="0"/>
        <w:ind w:right="389"/>
        <w:rPr>
          <w:rFonts w:cs="Arial"/>
          <w:spacing w:val="0"/>
          <w:sz w:val="22"/>
          <w:szCs w:val="22"/>
        </w:rPr>
      </w:pPr>
      <w:r w:rsidRPr="007810C1">
        <w:rPr>
          <w:rFonts w:cs="Arial"/>
          <w:spacing w:val="0"/>
          <w:sz w:val="22"/>
          <w:szCs w:val="22"/>
        </w:rPr>
        <w:t>The ratios to weighted average net assets are calculated for each Class of Shares taken as a whole. An individual Shareholder’s return and ratios to weighted average net assets may vary from these amounts based on the timing of capital transactions. Returns and ratios shown above are for the y</w:t>
      </w:r>
      <w:r w:rsidR="007810C1" w:rsidRPr="007810C1">
        <w:rPr>
          <w:rFonts w:cs="Arial"/>
          <w:spacing w:val="0"/>
          <w:sz w:val="22"/>
          <w:szCs w:val="22"/>
        </w:rPr>
        <w:t>ears ended 31 December 2015 and 2014</w:t>
      </w:r>
      <w:r w:rsidRPr="007810C1">
        <w:rPr>
          <w:rFonts w:cs="Arial"/>
          <w:spacing w:val="0"/>
          <w:sz w:val="22"/>
          <w:szCs w:val="22"/>
        </w:rPr>
        <w:t xml:space="preserve">. </w:t>
      </w:r>
      <w:proofErr w:type="gramStart"/>
      <w:r w:rsidRPr="007810C1">
        <w:rPr>
          <w:rFonts w:cs="Arial"/>
          <w:spacing w:val="0"/>
          <w:sz w:val="22"/>
          <w:szCs w:val="22"/>
        </w:rPr>
        <w:t>The per</w:t>
      </w:r>
      <w:proofErr w:type="gramEnd"/>
      <w:r w:rsidRPr="007810C1">
        <w:rPr>
          <w:rFonts w:cs="Arial"/>
          <w:spacing w:val="0"/>
          <w:sz w:val="22"/>
          <w:szCs w:val="22"/>
        </w:rPr>
        <w:t xml:space="preserve"> Share amounts and ratios reﬂect income and expenses allocated from the Master Fund.</w:t>
      </w:r>
    </w:p>
    <w:p w14:paraId="29255A36" w14:textId="77777777" w:rsidR="00470906" w:rsidRPr="007810C1" w:rsidRDefault="00470906" w:rsidP="00E343B0">
      <w:pPr>
        <w:jc w:val="both"/>
        <w:rPr>
          <w:rFonts w:cs="Arial"/>
          <w:szCs w:val="22"/>
        </w:rPr>
      </w:pPr>
    </w:p>
    <w:p w14:paraId="19028B68" w14:textId="77777777" w:rsidR="00E50CFB" w:rsidRPr="007810C1" w:rsidRDefault="001A5FB0" w:rsidP="00E34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Cs w:val="22"/>
        </w:rPr>
      </w:pPr>
      <w:r w:rsidRPr="007810C1">
        <w:rPr>
          <w:rFonts w:cs="Arial"/>
          <w:b/>
          <w:szCs w:val="22"/>
        </w:rPr>
        <w:t>11.</w:t>
      </w:r>
      <w:r w:rsidRPr="007810C1">
        <w:rPr>
          <w:rFonts w:cs="Arial"/>
          <w:b/>
          <w:szCs w:val="22"/>
        </w:rPr>
        <w:tab/>
      </w:r>
      <w:r w:rsidR="00307691" w:rsidRPr="007810C1">
        <w:rPr>
          <w:rFonts w:cs="Arial"/>
          <w:b/>
          <w:szCs w:val="22"/>
        </w:rPr>
        <w:t xml:space="preserve">INDEMNIFICATIONS OR WARRANTIES </w:t>
      </w:r>
    </w:p>
    <w:p w14:paraId="11AADAB1" w14:textId="77777777" w:rsidR="009E7790" w:rsidRPr="007810C1" w:rsidRDefault="009E7790" w:rsidP="009E7790">
      <w:pPr>
        <w:pStyle w:val="BodyText"/>
        <w:kinsoku w:val="0"/>
        <w:overflowPunct w:val="0"/>
        <w:spacing w:before="57"/>
        <w:ind w:right="389"/>
        <w:rPr>
          <w:rFonts w:cs="Arial"/>
          <w:spacing w:val="0"/>
          <w:sz w:val="22"/>
          <w:szCs w:val="22"/>
        </w:rPr>
      </w:pPr>
      <w:r w:rsidRPr="007810C1">
        <w:rPr>
          <w:rFonts w:cs="Arial"/>
          <w:spacing w:val="0"/>
          <w:sz w:val="22"/>
          <w:szCs w:val="22"/>
        </w:rPr>
        <w:t>In the ordinary course of its business, the Company may enter into contracts or agreements that contain indemniﬁcations or warranties. Future events could occur that lead to the execution of these provisions against the Company. Based on its history and experience, management believes that the likelihood of such an event is remote.</w:t>
      </w:r>
    </w:p>
    <w:p w14:paraId="75AC43CB" w14:textId="77777777" w:rsidR="00470906" w:rsidRPr="00D25DF8" w:rsidRDefault="00470906" w:rsidP="00E34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FF0000"/>
          <w:szCs w:val="22"/>
        </w:rPr>
      </w:pPr>
    </w:p>
    <w:p w14:paraId="6CB1C6C4" w14:textId="77777777" w:rsidR="00E50CFB" w:rsidRPr="00EC11CD" w:rsidRDefault="001A5FB0" w:rsidP="00E34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Cs w:val="22"/>
        </w:rPr>
      </w:pPr>
      <w:r w:rsidRPr="00EC11CD">
        <w:rPr>
          <w:rFonts w:cs="Arial"/>
          <w:b/>
          <w:szCs w:val="22"/>
        </w:rPr>
        <w:t>12.</w:t>
      </w:r>
      <w:r w:rsidRPr="00EC11CD">
        <w:rPr>
          <w:rFonts w:cs="Arial"/>
          <w:b/>
          <w:szCs w:val="22"/>
        </w:rPr>
        <w:tab/>
        <w:t>S</w:t>
      </w:r>
      <w:r w:rsidR="00307691" w:rsidRPr="00EC11CD">
        <w:rPr>
          <w:rFonts w:cs="Arial"/>
          <w:b/>
          <w:szCs w:val="22"/>
        </w:rPr>
        <w:t>UBSEQUENT EVENTS</w:t>
      </w:r>
    </w:p>
    <w:p w14:paraId="7B234F80" w14:textId="4600F88A" w:rsidR="009E7790" w:rsidRDefault="009E7790" w:rsidP="009E7790">
      <w:pPr>
        <w:pStyle w:val="BodyText"/>
        <w:kinsoku w:val="0"/>
        <w:overflowPunct w:val="0"/>
        <w:spacing w:before="57"/>
        <w:ind w:right="389"/>
        <w:rPr>
          <w:rFonts w:cs="Arial"/>
          <w:spacing w:val="0"/>
          <w:sz w:val="22"/>
          <w:szCs w:val="22"/>
        </w:rPr>
      </w:pPr>
      <w:r w:rsidRPr="00EC11CD">
        <w:rPr>
          <w:rFonts w:cs="Arial"/>
          <w:spacing w:val="0"/>
          <w:sz w:val="22"/>
          <w:szCs w:val="22"/>
        </w:rPr>
        <w:t xml:space="preserve">On </w:t>
      </w:r>
      <w:r w:rsidR="007810C1" w:rsidRPr="00EC11CD">
        <w:rPr>
          <w:rFonts w:cs="Arial"/>
          <w:spacing w:val="0"/>
          <w:sz w:val="22"/>
          <w:szCs w:val="22"/>
        </w:rPr>
        <w:t>29 January 2016</w:t>
      </w:r>
      <w:r w:rsidRPr="00EC11CD">
        <w:rPr>
          <w:rFonts w:cs="Arial"/>
          <w:spacing w:val="0"/>
          <w:sz w:val="22"/>
          <w:szCs w:val="22"/>
        </w:rPr>
        <w:t>, the Board decl</w:t>
      </w:r>
      <w:r w:rsidR="007810C1" w:rsidRPr="00EC11CD">
        <w:rPr>
          <w:rFonts w:cs="Arial"/>
          <w:spacing w:val="0"/>
          <w:sz w:val="22"/>
          <w:szCs w:val="22"/>
        </w:rPr>
        <w:t>ared a dividend of $0.06619</w:t>
      </w:r>
      <w:r w:rsidR="00EC11CD" w:rsidRPr="00EC11CD">
        <w:rPr>
          <w:rFonts w:cs="Arial"/>
          <w:spacing w:val="0"/>
          <w:sz w:val="22"/>
          <w:szCs w:val="22"/>
        </w:rPr>
        <w:t xml:space="preserve"> per s</w:t>
      </w:r>
      <w:r w:rsidRPr="00EC11CD">
        <w:rPr>
          <w:rFonts w:cs="Arial"/>
          <w:spacing w:val="0"/>
          <w:sz w:val="22"/>
          <w:szCs w:val="22"/>
        </w:rPr>
        <w:t>hare in respect of the Ordinary</w:t>
      </w:r>
      <w:r w:rsidR="007810C1" w:rsidRPr="00EC11CD">
        <w:rPr>
          <w:rFonts w:cs="Arial"/>
          <w:spacing w:val="0"/>
          <w:sz w:val="22"/>
          <w:szCs w:val="22"/>
        </w:rPr>
        <w:t xml:space="preserve"> Shares with a record date of 12</w:t>
      </w:r>
      <w:r w:rsidRPr="00EC11CD">
        <w:rPr>
          <w:rFonts w:cs="Arial"/>
          <w:spacing w:val="0"/>
          <w:sz w:val="22"/>
          <w:szCs w:val="22"/>
        </w:rPr>
        <w:t xml:space="preserve"> </w:t>
      </w:r>
      <w:r w:rsidR="007810C1" w:rsidRPr="00EC11CD">
        <w:rPr>
          <w:rFonts w:cs="Arial"/>
          <w:spacing w:val="0"/>
          <w:sz w:val="22"/>
          <w:szCs w:val="22"/>
        </w:rPr>
        <w:t>February 2016. It is expected that this dividend will be paid to Shareholders on 26 February 2016.</w:t>
      </w:r>
      <w:r w:rsidRPr="00EC11CD">
        <w:rPr>
          <w:rFonts w:cs="Arial"/>
          <w:spacing w:val="0"/>
          <w:sz w:val="22"/>
          <w:szCs w:val="22"/>
        </w:rPr>
        <w:t xml:space="preserve"> </w:t>
      </w:r>
    </w:p>
    <w:p w14:paraId="14ADDCE9" w14:textId="17D35303" w:rsidR="009E7790" w:rsidRPr="00EC11CD" w:rsidRDefault="00EC11CD" w:rsidP="00EC11CD">
      <w:pPr>
        <w:pStyle w:val="BodyText"/>
        <w:kinsoku w:val="0"/>
        <w:overflowPunct w:val="0"/>
        <w:spacing w:before="57"/>
        <w:ind w:right="389"/>
        <w:rPr>
          <w:rFonts w:cs="Arial"/>
          <w:spacing w:val="0"/>
          <w:sz w:val="22"/>
          <w:szCs w:val="22"/>
        </w:rPr>
      </w:pPr>
      <w:r>
        <w:rPr>
          <w:rFonts w:cs="Arial"/>
          <w:spacing w:val="0"/>
          <w:sz w:val="22"/>
          <w:szCs w:val="22"/>
        </w:rPr>
        <w:t>In addition, effective 1 January 2016, $3</w:t>
      </w:r>
      <w:r w:rsidR="000E50DB">
        <w:rPr>
          <w:rFonts w:cs="Arial"/>
          <w:spacing w:val="0"/>
          <w:sz w:val="22"/>
          <w:szCs w:val="22"/>
        </w:rPr>
        <w:t>02</w:t>
      </w:r>
      <w:r>
        <w:rPr>
          <w:rFonts w:cs="Arial"/>
          <w:spacing w:val="0"/>
          <w:sz w:val="22"/>
          <w:szCs w:val="22"/>
        </w:rPr>
        <w:t>mn of the investments held by the Company were transferred to Markel CATCo Reinsurance Fund Ltd. – Markel CATCo Diversified Fund with the remaining $25.3mn remaining invested in the Master Fund as Side Pocket Investments.</w:t>
      </w:r>
    </w:p>
    <w:p w14:paraId="49B10E12" w14:textId="7B38DE00" w:rsidR="00556FE6" w:rsidRPr="00261BD5" w:rsidRDefault="009E7790" w:rsidP="00261BD5">
      <w:pPr>
        <w:pStyle w:val="BodyText"/>
        <w:kinsoku w:val="0"/>
        <w:overflowPunct w:val="0"/>
        <w:spacing w:before="115"/>
        <w:ind w:right="389"/>
        <w:rPr>
          <w:rFonts w:cs="Arial"/>
          <w:spacing w:val="0"/>
          <w:sz w:val="22"/>
          <w:szCs w:val="22"/>
        </w:rPr>
      </w:pPr>
      <w:r w:rsidRPr="00EC11CD">
        <w:rPr>
          <w:rFonts w:cs="Arial"/>
          <w:spacing w:val="0"/>
          <w:sz w:val="22"/>
          <w:szCs w:val="22"/>
        </w:rPr>
        <w:t xml:space="preserve">These Financial Statements were approved by the Board </w:t>
      </w:r>
      <w:r w:rsidR="00EC11CD" w:rsidRPr="00EC11CD">
        <w:rPr>
          <w:rFonts w:cs="Arial"/>
          <w:spacing w:val="0"/>
          <w:sz w:val="22"/>
          <w:szCs w:val="22"/>
        </w:rPr>
        <w:t>and available for issuance on 19</w:t>
      </w:r>
      <w:r w:rsidRPr="00EC11CD">
        <w:rPr>
          <w:rFonts w:cs="Arial"/>
          <w:spacing w:val="0"/>
          <w:sz w:val="22"/>
          <w:szCs w:val="22"/>
        </w:rPr>
        <w:t xml:space="preserve"> Februar</w:t>
      </w:r>
      <w:r w:rsidR="00EC11CD" w:rsidRPr="00EC11CD">
        <w:rPr>
          <w:rFonts w:cs="Arial"/>
          <w:spacing w:val="0"/>
          <w:sz w:val="22"/>
          <w:szCs w:val="22"/>
        </w:rPr>
        <w:t>y 2016</w:t>
      </w:r>
      <w:r w:rsidRPr="00EC11CD">
        <w:rPr>
          <w:rFonts w:cs="Arial"/>
          <w:spacing w:val="0"/>
          <w:sz w:val="22"/>
          <w:szCs w:val="22"/>
        </w:rPr>
        <w:t>. Subsequent events have been evaluated through this date.</w:t>
      </w:r>
    </w:p>
    <w:p w14:paraId="2875A12E" w14:textId="77777777" w:rsidR="00470906" w:rsidRPr="00EC11CD" w:rsidRDefault="00470906" w:rsidP="00AD212A">
      <w:pPr>
        <w:jc w:val="both"/>
        <w:rPr>
          <w:rFonts w:cs="Arial"/>
          <w:iCs/>
          <w:szCs w:val="22"/>
        </w:rPr>
      </w:pPr>
    </w:p>
    <w:tbl>
      <w:tblPr>
        <w:tblW w:w="0" w:type="auto"/>
        <w:tblLook w:val="00A0" w:firstRow="1" w:lastRow="0" w:firstColumn="1" w:lastColumn="0" w:noHBand="0" w:noVBand="0"/>
      </w:tblPr>
      <w:tblGrid>
        <w:gridCol w:w="6138"/>
      </w:tblGrid>
      <w:tr w:rsidR="00556FE6" w:rsidRPr="00EC11CD" w14:paraId="1A0B09C9" w14:textId="77777777" w:rsidTr="00BC49B6">
        <w:tc>
          <w:tcPr>
            <w:tcW w:w="6138" w:type="dxa"/>
          </w:tcPr>
          <w:p w14:paraId="43B536FB" w14:textId="77777777" w:rsidR="00556FE6" w:rsidRPr="00EC11CD" w:rsidRDefault="001A5FB0" w:rsidP="00291AD6">
            <w:pPr>
              <w:pStyle w:val="bv"/>
              <w:rPr>
                <w:rStyle w:val="bb"/>
                <w:rFonts w:ascii="Arial" w:hAnsi="Arial" w:cs="Arial"/>
                <w:b/>
                <w:sz w:val="22"/>
                <w:szCs w:val="22"/>
              </w:rPr>
            </w:pPr>
            <w:r w:rsidRPr="00EC11CD">
              <w:rPr>
                <w:rStyle w:val="at"/>
                <w:rFonts w:ascii="Arial" w:hAnsi="Arial" w:cs="Arial"/>
                <w:b/>
                <w:sz w:val="22"/>
                <w:szCs w:val="22"/>
              </w:rPr>
              <w:t>For further information, please contact:</w:t>
            </w:r>
          </w:p>
        </w:tc>
      </w:tr>
      <w:tr w:rsidR="00556FE6" w:rsidRPr="00EC11CD" w14:paraId="2E0C564E" w14:textId="77777777" w:rsidTr="00BC49B6">
        <w:tc>
          <w:tcPr>
            <w:tcW w:w="6138" w:type="dxa"/>
          </w:tcPr>
          <w:p w14:paraId="34832C40" w14:textId="77777777" w:rsidR="00556FE6" w:rsidRPr="00EC11CD" w:rsidRDefault="00556FE6" w:rsidP="00A57939">
            <w:pPr>
              <w:pStyle w:val="bt"/>
              <w:spacing w:before="0" w:beforeAutospacing="0" w:after="0" w:afterAutospacing="0"/>
              <w:rPr>
                <w:rStyle w:val="bb"/>
                <w:rFonts w:ascii="Arial" w:hAnsi="Arial" w:cs="Arial"/>
                <w:b/>
                <w:sz w:val="22"/>
                <w:szCs w:val="22"/>
              </w:rPr>
            </w:pPr>
          </w:p>
          <w:p w14:paraId="274570FD" w14:textId="41C5733E" w:rsidR="00556FE6" w:rsidRPr="00EC11CD" w:rsidRDefault="00F02C4C" w:rsidP="009E7790">
            <w:pPr>
              <w:pStyle w:val="bt"/>
              <w:spacing w:before="0" w:beforeAutospacing="0" w:after="0" w:afterAutospacing="0"/>
              <w:rPr>
                <w:rFonts w:ascii="Arial" w:hAnsi="Arial" w:cs="Arial"/>
                <w:b/>
                <w:sz w:val="22"/>
                <w:szCs w:val="22"/>
              </w:rPr>
            </w:pPr>
            <w:r>
              <w:rPr>
                <w:rStyle w:val="bb"/>
                <w:rFonts w:ascii="Arial" w:hAnsi="Arial" w:cs="Arial"/>
                <w:b/>
                <w:sz w:val="22"/>
                <w:szCs w:val="22"/>
              </w:rPr>
              <w:t xml:space="preserve">Markel </w:t>
            </w:r>
            <w:proofErr w:type="spellStart"/>
            <w:r w:rsidR="001A5FB0" w:rsidRPr="00EC11CD">
              <w:rPr>
                <w:rStyle w:val="bb"/>
                <w:rFonts w:ascii="Arial" w:hAnsi="Arial" w:cs="Arial"/>
                <w:b/>
                <w:sz w:val="22"/>
                <w:szCs w:val="22"/>
              </w:rPr>
              <w:t>CATCo</w:t>
            </w:r>
            <w:proofErr w:type="spellEnd"/>
            <w:r w:rsidR="001A5FB0" w:rsidRPr="00EC11CD">
              <w:rPr>
                <w:rStyle w:val="bb"/>
                <w:rFonts w:ascii="Arial" w:hAnsi="Arial" w:cs="Arial"/>
                <w:b/>
                <w:sz w:val="22"/>
                <w:szCs w:val="22"/>
              </w:rPr>
              <w:t xml:space="preserve"> Investment Management Ltd </w:t>
            </w:r>
          </w:p>
        </w:tc>
      </w:tr>
      <w:tr w:rsidR="00556FE6" w:rsidRPr="00EC11CD" w14:paraId="7029F3CE" w14:textId="77777777" w:rsidTr="00BC49B6">
        <w:tc>
          <w:tcPr>
            <w:tcW w:w="6138" w:type="dxa"/>
          </w:tcPr>
          <w:p w14:paraId="2A57B140" w14:textId="7FB3DDD9" w:rsidR="00556FE6" w:rsidRPr="00EC11CD" w:rsidRDefault="001A5FB0" w:rsidP="00A57939">
            <w:pPr>
              <w:pStyle w:val="bt"/>
              <w:spacing w:before="0" w:beforeAutospacing="0" w:after="0" w:afterAutospacing="0"/>
              <w:rPr>
                <w:rFonts w:ascii="Arial" w:hAnsi="Arial" w:cs="Arial"/>
                <w:sz w:val="22"/>
                <w:szCs w:val="22"/>
              </w:rPr>
            </w:pPr>
            <w:r w:rsidRPr="00EC11CD">
              <w:rPr>
                <w:rStyle w:val="bb"/>
                <w:rFonts w:ascii="Arial" w:hAnsi="Arial" w:cs="Arial"/>
                <w:sz w:val="22"/>
                <w:szCs w:val="22"/>
              </w:rPr>
              <w:t xml:space="preserve">Mark Way, </w:t>
            </w:r>
            <w:r w:rsidR="00EC11CD" w:rsidRPr="00EC11CD">
              <w:rPr>
                <w:rStyle w:val="bb"/>
                <w:rFonts w:ascii="Arial" w:hAnsi="Arial" w:cs="Arial"/>
                <w:sz w:val="22"/>
                <w:szCs w:val="22"/>
              </w:rPr>
              <w:t>Chief Operating Officer</w:t>
            </w:r>
          </w:p>
          <w:p w14:paraId="01379F99" w14:textId="212464B8" w:rsidR="00556FE6" w:rsidRPr="00EC11CD" w:rsidRDefault="001A5FB0" w:rsidP="00A57939">
            <w:pPr>
              <w:pStyle w:val="bt"/>
              <w:spacing w:before="0" w:beforeAutospacing="0" w:after="0" w:afterAutospacing="0"/>
              <w:rPr>
                <w:rFonts w:ascii="Arial" w:hAnsi="Arial" w:cs="Arial"/>
                <w:sz w:val="22"/>
                <w:szCs w:val="22"/>
              </w:rPr>
            </w:pPr>
            <w:r w:rsidRPr="00EC11CD">
              <w:rPr>
                <w:rStyle w:val="bb"/>
                <w:rFonts w:ascii="Arial" w:hAnsi="Arial" w:cs="Arial"/>
                <w:sz w:val="22"/>
                <w:szCs w:val="22"/>
              </w:rPr>
              <w:t xml:space="preserve">Telephone: </w:t>
            </w:r>
            <w:r w:rsidR="00C65DEE" w:rsidRPr="00ED3E0B">
              <w:rPr>
                <w:rStyle w:val="bb"/>
                <w:rFonts w:ascii="Arial" w:hAnsi="Arial" w:cs="Arial"/>
                <w:sz w:val="22"/>
                <w:szCs w:val="22"/>
              </w:rPr>
              <w:t>+1 441 493 9003</w:t>
            </w:r>
          </w:p>
          <w:p w14:paraId="4DF25EAA" w14:textId="33A0AB98" w:rsidR="00556FE6" w:rsidRPr="00EC11CD" w:rsidRDefault="001A5FB0" w:rsidP="00A57939">
            <w:pPr>
              <w:pStyle w:val="bt"/>
              <w:spacing w:before="0" w:beforeAutospacing="0" w:after="0" w:afterAutospacing="0"/>
              <w:rPr>
                <w:rStyle w:val="bb"/>
                <w:rFonts w:ascii="Arial" w:hAnsi="Arial" w:cs="Arial"/>
                <w:sz w:val="22"/>
                <w:szCs w:val="22"/>
              </w:rPr>
            </w:pPr>
            <w:r w:rsidRPr="00EC11CD">
              <w:rPr>
                <w:rStyle w:val="bb"/>
                <w:rFonts w:ascii="Arial" w:hAnsi="Arial" w:cs="Arial"/>
                <w:sz w:val="22"/>
                <w:szCs w:val="22"/>
              </w:rPr>
              <w:t>Email:</w:t>
            </w:r>
            <w:r w:rsidR="00EC11CD" w:rsidRPr="00EC11CD">
              <w:rPr>
                <w:rStyle w:val="bb"/>
                <w:rFonts w:ascii="Arial" w:hAnsi="Arial" w:cs="Arial"/>
                <w:sz w:val="22"/>
                <w:szCs w:val="22"/>
              </w:rPr>
              <w:t xml:space="preserve"> mark.way@markelcatco.com</w:t>
            </w:r>
          </w:p>
          <w:p w14:paraId="66266E6F" w14:textId="77777777" w:rsidR="00BC49B6" w:rsidRPr="00EC11CD" w:rsidRDefault="00BC49B6" w:rsidP="00A57939">
            <w:pPr>
              <w:pStyle w:val="bt"/>
              <w:spacing w:before="0" w:beforeAutospacing="0" w:after="0" w:afterAutospacing="0"/>
              <w:rPr>
                <w:rStyle w:val="bb"/>
                <w:rFonts w:ascii="Arial" w:hAnsi="Arial" w:cs="Arial"/>
                <w:sz w:val="22"/>
                <w:szCs w:val="22"/>
              </w:rPr>
            </w:pPr>
          </w:p>
          <w:p w14:paraId="6B6772FC" w14:textId="5F3D936B" w:rsidR="00BC49B6" w:rsidRPr="00EC11CD" w:rsidRDefault="00BC49B6" w:rsidP="00BC49B6">
            <w:pPr>
              <w:widowControl w:val="0"/>
              <w:autoSpaceDE w:val="0"/>
              <w:autoSpaceDN w:val="0"/>
              <w:adjustRightInd w:val="0"/>
              <w:jc w:val="both"/>
              <w:rPr>
                <w:rFonts w:cs="Arial"/>
                <w:noProof/>
                <w:szCs w:val="22"/>
              </w:rPr>
            </w:pPr>
            <w:r w:rsidRPr="00EC11CD">
              <w:rPr>
                <w:rStyle w:val="bb"/>
                <w:rFonts w:cs="Arial"/>
                <w:szCs w:val="22"/>
              </w:rPr>
              <w:t xml:space="preserve">Judith Wynne, </w:t>
            </w:r>
            <w:r w:rsidRPr="00EC11CD">
              <w:rPr>
                <w:rFonts w:cs="Arial"/>
                <w:noProof/>
                <w:szCs w:val="22"/>
              </w:rPr>
              <w:t>General Counsel</w:t>
            </w:r>
          </w:p>
          <w:p w14:paraId="7AB32581" w14:textId="77C650EF" w:rsidR="00BC49B6" w:rsidRPr="00EC11CD" w:rsidRDefault="00BC49B6" w:rsidP="00BC49B6">
            <w:pPr>
              <w:pStyle w:val="bt"/>
              <w:spacing w:before="0" w:beforeAutospacing="0" w:after="0" w:afterAutospacing="0"/>
              <w:rPr>
                <w:rFonts w:ascii="Arial" w:hAnsi="Arial" w:cs="Arial"/>
                <w:sz w:val="22"/>
                <w:szCs w:val="22"/>
              </w:rPr>
            </w:pPr>
            <w:r w:rsidRPr="00EC11CD">
              <w:rPr>
                <w:rStyle w:val="bb"/>
                <w:rFonts w:ascii="Arial" w:hAnsi="Arial" w:cs="Arial"/>
                <w:sz w:val="22"/>
                <w:szCs w:val="22"/>
              </w:rPr>
              <w:t xml:space="preserve">Telephone: </w:t>
            </w:r>
            <w:r w:rsidR="00C65DEE" w:rsidRPr="00ED3E0B">
              <w:rPr>
                <w:rStyle w:val="bb"/>
                <w:rFonts w:ascii="Arial" w:hAnsi="Arial" w:cs="Arial"/>
                <w:sz w:val="22"/>
                <w:szCs w:val="22"/>
              </w:rPr>
              <w:t>+1 441 493 9005</w:t>
            </w:r>
          </w:p>
          <w:p w14:paraId="45B2BEB9" w14:textId="140B2ABB" w:rsidR="00BC49B6" w:rsidRPr="00EC11CD" w:rsidRDefault="00BC49B6" w:rsidP="00BC49B6">
            <w:pPr>
              <w:pStyle w:val="bt"/>
              <w:spacing w:before="0" w:beforeAutospacing="0" w:after="0" w:afterAutospacing="0"/>
              <w:rPr>
                <w:rStyle w:val="bb"/>
                <w:rFonts w:ascii="Arial" w:hAnsi="Arial" w:cs="Arial"/>
                <w:sz w:val="22"/>
                <w:szCs w:val="22"/>
              </w:rPr>
            </w:pPr>
            <w:r w:rsidRPr="00EC11CD">
              <w:rPr>
                <w:rStyle w:val="bb"/>
                <w:rFonts w:ascii="Arial" w:hAnsi="Arial" w:cs="Arial"/>
                <w:sz w:val="22"/>
                <w:szCs w:val="22"/>
              </w:rPr>
              <w:t>Email:</w:t>
            </w:r>
            <w:r w:rsidR="00EC11CD" w:rsidRPr="00EC11CD">
              <w:rPr>
                <w:rStyle w:val="bb"/>
                <w:rFonts w:ascii="Arial" w:hAnsi="Arial" w:cs="Arial"/>
                <w:sz w:val="22"/>
                <w:szCs w:val="22"/>
              </w:rPr>
              <w:t xml:space="preserve"> Judith.wynne@markelcatco.com</w:t>
            </w:r>
          </w:p>
          <w:p w14:paraId="754B9898" w14:textId="77777777" w:rsidR="00556FE6" w:rsidRPr="00EC11CD" w:rsidRDefault="00556FE6" w:rsidP="00A57939">
            <w:pPr>
              <w:jc w:val="both"/>
              <w:rPr>
                <w:rFonts w:cs="Arial"/>
                <w:iCs/>
                <w:szCs w:val="22"/>
              </w:rPr>
            </w:pPr>
          </w:p>
        </w:tc>
      </w:tr>
      <w:tr w:rsidR="00556FE6" w:rsidRPr="00EC11CD" w14:paraId="46C64D91" w14:textId="77777777" w:rsidTr="00BC49B6">
        <w:tc>
          <w:tcPr>
            <w:tcW w:w="6138" w:type="dxa"/>
          </w:tcPr>
          <w:p w14:paraId="147B17F4" w14:textId="77777777" w:rsidR="00556FE6" w:rsidRPr="00EC11CD" w:rsidRDefault="001A5FB0" w:rsidP="00291AD6">
            <w:pPr>
              <w:rPr>
                <w:rFonts w:cs="Arial"/>
                <w:b/>
                <w:szCs w:val="22"/>
              </w:rPr>
            </w:pPr>
            <w:r w:rsidRPr="00EC11CD">
              <w:rPr>
                <w:rFonts w:cs="Arial"/>
                <w:b/>
                <w:szCs w:val="22"/>
              </w:rPr>
              <w:t xml:space="preserve">Numis Securities Limited </w:t>
            </w:r>
          </w:p>
          <w:p w14:paraId="5152B7B1" w14:textId="77777777" w:rsidR="00556FE6" w:rsidRPr="00EC11CD" w:rsidRDefault="001A5FB0" w:rsidP="00291AD6">
            <w:pPr>
              <w:rPr>
                <w:rFonts w:cs="Arial"/>
                <w:szCs w:val="22"/>
              </w:rPr>
            </w:pPr>
            <w:r w:rsidRPr="00EC11CD">
              <w:rPr>
                <w:rFonts w:cs="Arial"/>
                <w:szCs w:val="22"/>
              </w:rPr>
              <w:t xml:space="preserve">David Benda / Hugh Jonathan </w:t>
            </w:r>
          </w:p>
          <w:p w14:paraId="6D5DE926" w14:textId="77777777" w:rsidR="00556FE6" w:rsidRPr="00EC11CD" w:rsidRDefault="001A5FB0" w:rsidP="00470906">
            <w:pPr>
              <w:rPr>
                <w:rFonts w:cs="Arial"/>
                <w:szCs w:val="22"/>
              </w:rPr>
            </w:pPr>
            <w:r w:rsidRPr="00EC11CD">
              <w:rPr>
                <w:rFonts w:cs="Arial"/>
                <w:szCs w:val="22"/>
              </w:rPr>
              <w:t>Telephone: +44 (0) 20 7260 1000</w:t>
            </w:r>
          </w:p>
        </w:tc>
      </w:tr>
      <w:tr w:rsidR="00556FE6" w:rsidRPr="00D25DF8" w14:paraId="03A41918" w14:textId="77777777" w:rsidTr="00BC49B6">
        <w:tc>
          <w:tcPr>
            <w:tcW w:w="6138" w:type="dxa"/>
          </w:tcPr>
          <w:p w14:paraId="409A89C5" w14:textId="77777777" w:rsidR="00556FE6" w:rsidRPr="00D25DF8" w:rsidRDefault="00556FE6" w:rsidP="00BC49B6">
            <w:pPr>
              <w:rPr>
                <w:rFonts w:cs="Arial"/>
                <w:iCs/>
                <w:color w:val="FF0000"/>
                <w:szCs w:val="22"/>
              </w:rPr>
            </w:pPr>
          </w:p>
        </w:tc>
      </w:tr>
    </w:tbl>
    <w:p w14:paraId="49636EFB" w14:textId="77777777" w:rsidR="00556FE6" w:rsidRPr="00C24374" w:rsidRDefault="00556FE6" w:rsidP="00AD212A">
      <w:pPr>
        <w:jc w:val="both"/>
        <w:rPr>
          <w:rFonts w:cs="Arial"/>
          <w:iCs/>
          <w:szCs w:val="22"/>
        </w:rPr>
      </w:pPr>
    </w:p>
    <w:p w14:paraId="06A5750B" w14:textId="77777777" w:rsidR="00556FE6" w:rsidRPr="00C24374" w:rsidRDefault="001A5FB0" w:rsidP="00AD212A">
      <w:pPr>
        <w:jc w:val="center"/>
        <w:rPr>
          <w:rFonts w:cs="Arial"/>
          <w:iCs/>
          <w:szCs w:val="22"/>
        </w:rPr>
      </w:pPr>
      <w:r w:rsidRPr="00C24374">
        <w:rPr>
          <w:rFonts w:cs="Arial"/>
          <w:iCs/>
          <w:szCs w:val="22"/>
        </w:rPr>
        <w:t>- Ends -</w:t>
      </w:r>
    </w:p>
    <w:p w14:paraId="1487E304" w14:textId="77777777" w:rsidR="00556FE6" w:rsidRPr="00D25DF8" w:rsidRDefault="00556FE6" w:rsidP="00107976">
      <w:pPr>
        <w:suppressAutoHyphens/>
        <w:jc w:val="both"/>
        <w:rPr>
          <w:rFonts w:cs="Arial"/>
          <w:color w:val="FF0000"/>
          <w:szCs w:val="22"/>
        </w:rPr>
      </w:pPr>
    </w:p>
    <w:sectPr w:rsidR="00556FE6" w:rsidRPr="00D25DF8" w:rsidSect="00107976">
      <w:pgSz w:w="12240" w:h="15840"/>
      <w:pgMar w:top="810" w:right="907" w:bottom="806" w:left="1224" w:header="648" w:footer="74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B7190" w14:textId="77777777" w:rsidR="002A259C" w:rsidRDefault="002A259C">
      <w:r>
        <w:separator/>
      </w:r>
    </w:p>
  </w:endnote>
  <w:endnote w:type="continuationSeparator" w:id="0">
    <w:p w14:paraId="04FFE809" w14:textId="77777777" w:rsidR="002A259C" w:rsidRDefault="002A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otham-Book">
    <w:altName w:val="Cambria"/>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9BF15" w14:textId="77777777" w:rsidR="002A259C" w:rsidRDefault="002A259C">
      <w:r>
        <w:separator/>
      </w:r>
    </w:p>
  </w:footnote>
  <w:footnote w:type="continuationSeparator" w:id="0">
    <w:p w14:paraId="1859DE5C" w14:textId="77777777" w:rsidR="002A259C" w:rsidRDefault="002A2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9063C0"/>
    <w:multiLevelType w:val="hybridMultilevel"/>
    <w:tmpl w:val="920EC634"/>
    <w:lvl w:ilvl="0" w:tplc="51B057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74F7D"/>
    <w:multiLevelType w:val="multilevel"/>
    <w:tmpl w:val="92F8DB88"/>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i w:val="0"/>
      </w:rPr>
    </w:lvl>
    <w:lvl w:ilvl="2">
      <w:start w:val="1"/>
      <w:numFmt w:val="lowerLetter"/>
      <w:pStyle w:val="Level3"/>
      <w:lvlText w:val="(%3)"/>
      <w:lvlJc w:val="left"/>
      <w:pPr>
        <w:tabs>
          <w:tab w:val="num" w:pos="1548"/>
        </w:tabs>
        <w:ind w:left="1548"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17BB20C4"/>
    <w:multiLevelType w:val="hybridMultilevel"/>
    <w:tmpl w:val="6C8C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DC3FDD"/>
    <w:multiLevelType w:val="hybridMultilevel"/>
    <w:tmpl w:val="07F2279A"/>
    <w:lvl w:ilvl="0" w:tplc="0409000F">
      <w:start w:val="1"/>
      <w:numFmt w:val="decimal"/>
      <w:lvlText w:val="%1."/>
      <w:lvlJc w:val="left"/>
      <w:pPr>
        <w:tabs>
          <w:tab w:val="num" w:pos="540"/>
        </w:tabs>
        <w:ind w:left="540" w:hanging="360"/>
      </w:pPr>
      <w:rPr>
        <w:rFonts w:cs="Times New Roman"/>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5">
    <w:nsid w:val="6A114F5D"/>
    <w:multiLevelType w:val="hybridMultilevel"/>
    <w:tmpl w:val="E636248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nsid w:val="72A62A0D"/>
    <w:multiLevelType w:val="hybridMultilevel"/>
    <w:tmpl w:val="CEBED7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B03"/>
    <w:rsid w:val="00000A1E"/>
    <w:rsid w:val="00004AD4"/>
    <w:rsid w:val="00005595"/>
    <w:rsid w:val="00011351"/>
    <w:rsid w:val="000157DF"/>
    <w:rsid w:val="000206F5"/>
    <w:rsid w:val="00027358"/>
    <w:rsid w:val="00030269"/>
    <w:rsid w:val="0003299E"/>
    <w:rsid w:val="000362E4"/>
    <w:rsid w:val="0003700F"/>
    <w:rsid w:val="00037299"/>
    <w:rsid w:val="0004234A"/>
    <w:rsid w:val="00042CFA"/>
    <w:rsid w:val="000468EB"/>
    <w:rsid w:val="00051812"/>
    <w:rsid w:val="000540B3"/>
    <w:rsid w:val="000547FD"/>
    <w:rsid w:val="00063D0F"/>
    <w:rsid w:val="000649BE"/>
    <w:rsid w:val="00064B31"/>
    <w:rsid w:val="000666FA"/>
    <w:rsid w:val="000764A3"/>
    <w:rsid w:val="000773E5"/>
    <w:rsid w:val="000776B3"/>
    <w:rsid w:val="00080570"/>
    <w:rsid w:val="00081833"/>
    <w:rsid w:val="00084942"/>
    <w:rsid w:val="000873EC"/>
    <w:rsid w:val="000941D5"/>
    <w:rsid w:val="00095322"/>
    <w:rsid w:val="00096539"/>
    <w:rsid w:val="000A1888"/>
    <w:rsid w:val="000A2A6C"/>
    <w:rsid w:val="000A4F88"/>
    <w:rsid w:val="000A5B70"/>
    <w:rsid w:val="000A66FC"/>
    <w:rsid w:val="000A683B"/>
    <w:rsid w:val="000A71C8"/>
    <w:rsid w:val="000B0D31"/>
    <w:rsid w:val="000B3147"/>
    <w:rsid w:val="000B6686"/>
    <w:rsid w:val="000C072B"/>
    <w:rsid w:val="000C08A9"/>
    <w:rsid w:val="000C1DD5"/>
    <w:rsid w:val="000C3DEC"/>
    <w:rsid w:val="000D0D3A"/>
    <w:rsid w:val="000D3E49"/>
    <w:rsid w:val="000D471B"/>
    <w:rsid w:val="000E2639"/>
    <w:rsid w:val="000E296C"/>
    <w:rsid w:val="000E2ED6"/>
    <w:rsid w:val="000E3972"/>
    <w:rsid w:val="000E47DE"/>
    <w:rsid w:val="000E50DB"/>
    <w:rsid w:val="000E650A"/>
    <w:rsid w:val="000F2425"/>
    <w:rsid w:val="000F4C36"/>
    <w:rsid w:val="000F5027"/>
    <w:rsid w:val="000F64D7"/>
    <w:rsid w:val="0010016A"/>
    <w:rsid w:val="001006A2"/>
    <w:rsid w:val="0010160C"/>
    <w:rsid w:val="00102293"/>
    <w:rsid w:val="00102DA0"/>
    <w:rsid w:val="00107902"/>
    <w:rsid w:val="00107976"/>
    <w:rsid w:val="00111047"/>
    <w:rsid w:val="00111642"/>
    <w:rsid w:val="0012057C"/>
    <w:rsid w:val="00120780"/>
    <w:rsid w:val="00123965"/>
    <w:rsid w:val="00123D32"/>
    <w:rsid w:val="001245A2"/>
    <w:rsid w:val="00124BE1"/>
    <w:rsid w:val="00125E7A"/>
    <w:rsid w:val="00130770"/>
    <w:rsid w:val="00131568"/>
    <w:rsid w:val="00131ECA"/>
    <w:rsid w:val="0013536D"/>
    <w:rsid w:val="00137B0D"/>
    <w:rsid w:val="0014488C"/>
    <w:rsid w:val="00146EDE"/>
    <w:rsid w:val="00156A1F"/>
    <w:rsid w:val="00157C66"/>
    <w:rsid w:val="00161DCD"/>
    <w:rsid w:val="001642EA"/>
    <w:rsid w:val="00164B83"/>
    <w:rsid w:val="00166AF0"/>
    <w:rsid w:val="00170A1C"/>
    <w:rsid w:val="00174D4F"/>
    <w:rsid w:val="001763E2"/>
    <w:rsid w:val="00177AAB"/>
    <w:rsid w:val="00177E50"/>
    <w:rsid w:val="001825DE"/>
    <w:rsid w:val="0018471F"/>
    <w:rsid w:val="00186CAD"/>
    <w:rsid w:val="00187587"/>
    <w:rsid w:val="0019164B"/>
    <w:rsid w:val="00191F88"/>
    <w:rsid w:val="001920D1"/>
    <w:rsid w:val="001A098E"/>
    <w:rsid w:val="001A1373"/>
    <w:rsid w:val="001A1CCD"/>
    <w:rsid w:val="001A29DC"/>
    <w:rsid w:val="001A4328"/>
    <w:rsid w:val="001A59E1"/>
    <w:rsid w:val="001A5BDB"/>
    <w:rsid w:val="001A5FB0"/>
    <w:rsid w:val="001A616D"/>
    <w:rsid w:val="001A62A9"/>
    <w:rsid w:val="001B3C14"/>
    <w:rsid w:val="001B5155"/>
    <w:rsid w:val="001B6CE5"/>
    <w:rsid w:val="001C0499"/>
    <w:rsid w:val="001C2210"/>
    <w:rsid w:val="001C4E68"/>
    <w:rsid w:val="001C64B5"/>
    <w:rsid w:val="001C6A35"/>
    <w:rsid w:val="001D19F5"/>
    <w:rsid w:val="001D47EF"/>
    <w:rsid w:val="001D492D"/>
    <w:rsid w:val="001E0097"/>
    <w:rsid w:val="001E02A8"/>
    <w:rsid w:val="001E298A"/>
    <w:rsid w:val="001E7887"/>
    <w:rsid w:val="001F25AE"/>
    <w:rsid w:val="001F576F"/>
    <w:rsid w:val="001F5E26"/>
    <w:rsid w:val="001F5E82"/>
    <w:rsid w:val="001F6018"/>
    <w:rsid w:val="001F7CBC"/>
    <w:rsid w:val="0020265E"/>
    <w:rsid w:val="00207D99"/>
    <w:rsid w:val="002144BC"/>
    <w:rsid w:val="00216154"/>
    <w:rsid w:val="00220CA5"/>
    <w:rsid w:val="00221D60"/>
    <w:rsid w:val="002301D8"/>
    <w:rsid w:val="00230A42"/>
    <w:rsid w:val="00232205"/>
    <w:rsid w:val="00233AE7"/>
    <w:rsid w:val="00234415"/>
    <w:rsid w:val="002417ED"/>
    <w:rsid w:val="00241C63"/>
    <w:rsid w:val="0024646F"/>
    <w:rsid w:val="002470B0"/>
    <w:rsid w:val="002508F9"/>
    <w:rsid w:val="00252231"/>
    <w:rsid w:val="00256498"/>
    <w:rsid w:val="00260BA3"/>
    <w:rsid w:val="00261BD5"/>
    <w:rsid w:val="0026231A"/>
    <w:rsid w:val="00270BCF"/>
    <w:rsid w:val="00272059"/>
    <w:rsid w:val="00273012"/>
    <w:rsid w:val="002754BD"/>
    <w:rsid w:val="00276257"/>
    <w:rsid w:val="0028719D"/>
    <w:rsid w:val="00290717"/>
    <w:rsid w:val="00291AD6"/>
    <w:rsid w:val="00292803"/>
    <w:rsid w:val="00292DAC"/>
    <w:rsid w:val="002A1317"/>
    <w:rsid w:val="002A259C"/>
    <w:rsid w:val="002A39AF"/>
    <w:rsid w:val="002A42BD"/>
    <w:rsid w:val="002A492C"/>
    <w:rsid w:val="002A769A"/>
    <w:rsid w:val="002B169F"/>
    <w:rsid w:val="002C0DFD"/>
    <w:rsid w:val="002C1050"/>
    <w:rsid w:val="002C28A1"/>
    <w:rsid w:val="002C461A"/>
    <w:rsid w:val="002C4F83"/>
    <w:rsid w:val="002C625E"/>
    <w:rsid w:val="002C6D81"/>
    <w:rsid w:val="002D1E28"/>
    <w:rsid w:val="002D334C"/>
    <w:rsid w:val="002D384D"/>
    <w:rsid w:val="002D5130"/>
    <w:rsid w:val="002D789C"/>
    <w:rsid w:val="002E0F83"/>
    <w:rsid w:val="002E34E8"/>
    <w:rsid w:val="002F0241"/>
    <w:rsid w:val="002F22D7"/>
    <w:rsid w:val="002F43BE"/>
    <w:rsid w:val="002F4B86"/>
    <w:rsid w:val="002F5709"/>
    <w:rsid w:val="00301CCF"/>
    <w:rsid w:val="003028FD"/>
    <w:rsid w:val="00305035"/>
    <w:rsid w:val="00305DA7"/>
    <w:rsid w:val="00305FF2"/>
    <w:rsid w:val="003061C3"/>
    <w:rsid w:val="003062FF"/>
    <w:rsid w:val="003075B0"/>
    <w:rsid w:val="00307691"/>
    <w:rsid w:val="00311F88"/>
    <w:rsid w:val="0031262E"/>
    <w:rsid w:val="003132CC"/>
    <w:rsid w:val="00315642"/>
    <w:rsid w:val="00320EAD"/>
    <w:rsid w:val="00321588"/>
    <w:rsid w:val="0032644D"/>
    <w:rsid w:val="003278F6"/>
    <w:rsid w:val="0033061A"/>
    <w:rsid w:val="00335ECC"/>
    <w:rsid w:val="00337A14"/>
    <w:rsid w:val="003445B2"/>
    <w:rsid w:val="0034654F"/>
    <w:rsid w:val="00346803"/>
    <w:rsid w:val="00346881"/>
    <w:rsid w:val="00352752"/>
    <w:rsid w:val="003543A7"/>
    <w:rsid w:val="00354504"/>
    <w:rsid w:val="00354FD8"/>
    <w:rsid w:val="00355540"/>
    <w:rsid w:val="003607D7"/>
    <w:rsid w:val="003612C9"/>
    <w:rsid w:val="00361AD3"/>
    <w:rsid w:val="00362930"/>
    <w:rsid w:val="00362F0D"/>
    <w:rsid w:val="00364689"/>
    <w:rsid w:val="003663E1"/>
    <w:rsid w:val="00370D33"/>
    <w:rsid w:val="00373037"/>
    <w:rsid w:val="003741BA"/>
    <w:rsid w:val="00376BC8"/>
    <w:rsid w:val="003772DB"/>
    <w:rsid w:val="003821ED"/>
    <w:rsid w:val="0039054D"/>
    <w:rsid w:val="00390A6D"/>
    <w:rsid w:val="00391350"/>
    <w:rsid w:val="00394671"/>
    <w:rsid w:val="003961A6"/>
    <w:rsid w:val="003A15BE"/>
    <w:rsid w:val="003A2520"/>
    <w:rsid w:val="003A2E25"/>
    <w:rsid w:val="003A392E"/>
    <w:rsid w:val="003A51BB"/>
    <w:rsid w:val="003A5B3D"/>
    <w:rsid w:val="003A6C5D"/>
    <w:rsid w:val="003B3036"/>
    <w:rsid w:val="003B36DE"/>
    <w:rsid w:val="003B4419"/>
    <w:rsid w:val="003B5663"/>
    <w:rsid w:val="003B6612"/>
    <w:rsid w:val="003C5710"/>
    <w:rsid w:val="003C5DA7"/>
    <w:rsid w:val="003C60C0"/>
    <w:rsid w:val="003C7EF8"/>
    <w:rsid w:val="003D290D"/>
    <w:rsid w:val="003D51F4"/>
    <w:rsid w:val="003D525D"/>
    <w:rsid w:val="003D5671"/>
    <w:rsid w:val="003D5BAF"/>
    <w:rsid w:val="003D6A1E"/>
    <w:rsid w:val="003E1401"/>
    <w:rsid w:val="003E35C5"/>
    <w:rsid w:val="003E5764"/>
    <w:rsid w:val="003E6F0D"/>
    <w:rsid w:val="003E76B3"/>
    <w:rsid w:val="003F0D02"/>
    <w:rsid w:val="003F2896"/>
    <w:rsid w:val="003F29DF"/>
    <w:rsid w:val="003F5673"/>
    <w:rsid w:val="003F5823"/>
    <w:rsid w:val="003F621B"/>
    <w:rsid w:val="004008F5"/>
    <w:rsid w:val="00401150"/>
    <w:rsid w:val="004024EE"/>
    <w:rsid w:val="00406A15"/>
    <w:rsid w:val="00413E85"/>
    <w:rsid w:val="00415E9C"/>
    <w:rsid w:val="004160B8"/>
    <w:rsid w:val="00416A91"/>
    <w:rsid w:val="00421593"/>
    <w:rsid w:val="00424D3F"/>
    <w:rsid w:val="00426D49"/>
    <w:rsid w:val="00432B09"/>
    <w:rsid w:val="00434250"/>
    <w:rsid w:val="004350F1"/>
    <w:rsid w:val="00435B78"/>
    <w:rsid w:val="00435E72"/>
    <w:rsid w:val="00436159"/>
    <w:rsid w:val="004407CD"/>
    <w:rsid w:val="00441321"/>
    <w:rsid w:val="004548BA"/>
    <w:rsid w:val="00455477"/>
    <w:rsid w:val="0046437D"/>
    <w:rsid w:val="00467F44"/>
    <w:rsid w:val="00470906"/>
    <w:rsid w:val="00470F7D"/>
    <w:rsid w:val="00471375"/>
    <w:rsid w:val="0047145B"/>
    <w:rsid w:val="00473624"/>
    <w:rsid w:val="00473F7E"/>
    <w:rsid w:val="0047498E"/>
    <w:rsid w:val="00475DF9"/>
    <w:rsid w:val="00476954"/>
    <w:rsid w:val="00477ACE"/>
    <w:rsid w:val="00481D82"/>
    <w:rsid w:val="00482EC2"/>
    <w:rsid w:val="004834E3"/>
    <w:rsid w:val="0048358C"/>
    <w:rsid w:val="00483A40"/>
    <w:rsid w:val="00486683"/>
    <w:rsid w:val="00487148"/>
    <w:rsid w:val="0049246C"/>
    <w:rsid w:val="0049307F"/>
    <w:rsid w:val="0049564D"/>
    <w:rsid w:val="004A2640"/>
    <w:rsid w:val="004A2817"/>
    <w:rsid w:val="004A2DDE"/>
    <w:rsid w:val="004B02C6"/>
    <w:rsid w:val="004B10E2"/>
    <w:rsid w:val="004B1908"/>
    <w:rsid w:val="004B28FF"/>
    <w:rsid w:val="004B35AA"/>
    <w:rsid w:val="004B4346"/>
    <w:rsid w:val="004B63F6"/>
    <w:rsid w:val="004C1FC1"/>
    <w:rsid w:val="004C5DEA"/>
    <w:rsid w:val="004C7D8B"/>
    <w:rsid w:val="004D10B6"/>
    <w:rsid w:val="004E05F6"/>
    <w:rsid w:val="004E3239"/>
    <w:rsid w:val="004E5C0E"/>
    <w:rsid w:val="004F31BB"/>
    <w:rsid w:val="004F53FA"/>
    <w:rsid w:val="004F6EDF"/>
    <w:rsid w:val="005011FB"/>
    <w:rsid w:val="00503C32"/>
    <w:rsid w:val="0050436D"/>
    <w:rsid w:val="00504A37"/>
    <w:rsid w:val="005070EE"/>
    <w:rsid w:val="00510C8B"/>
    <w:rsid w:val="00511155"/>
    <w:rsid w:val="0051162B"/>
    <w:rsid w:val="00511AD9"/>
    <w:rsid w:val="0051656B"/>
    <w:rsid w:val="00516AE7"/>
    <w:rsid w:val="00517F89"/>
    <w:rsid w:val="00525B3C"/>
    <w:rsid w:val="00525EC9"/>
    <w:rsid w:val="00525FD6"/>
    <w:rsid w:val="00527523"/>
    <w:rsid w:val="00527537"/>
    <w:rsid w:val="00534808"/>
    <w:rsid w:val="005408E0"/>
    <w:rsid w:val="005416CA"/>
    <w:rsid w:val="005479FB"/>
    <w:rsid w:val="00550CBC"/>
    <w:rsid w:val="00551E38"/>
    <w:rsid w:val="00556282"/>
    <w:rsid w:val="00556FE6"/>
    <w:rsid w:val="0055704C"/>
    <w:rsid w:val="00557D8C"/>
    <w:rsid w:val="00560F27"/>
    <w:rsid w:val="0056311A"/>
    <w:rsid w:val="00563B0C"/>
    <w:rsid w:val="00563BB0"/>
    <w:rsid w:val="00564AB9"/>
    <w:rsid w:val="00565279"/>
    <w:rsid w:val="005730B3"/>
    <w:rsid w:val="005739F6"/>
    <w:rsid w:val="00575210"/>
    <w:rsid w:val="005757D8"/>
    <w:rsid w:val="005770A3"/>
    <w:rsid w:val="00580998"/>
    <w:rsid w:val="00580C3D"/>
    <w:rsid w:val="00584867"/>
    <w:rsid w:val="005850FA"/>
    <w:rsid w:val="00586A5C"/>
    <w:rsid w:val="005904E2"/>
    <w:rsid w:val="00590EE9"/>
    <w:rsid w:val="00591815"/>
    <w:rsid w:val="005926A1"/>
    <w:rsid w:val="005A1635"/>
    <w:rsid w:val="005A19AD"/>
    <w:rsid w:val="005A299E"/>
    <w:rsid w:val="005A2F9D"/>
    <w:rsid w:val="005B0AA0"/>
    <w:rsid w:val="005B111D"/>
    <w:rsid w:val="005B146D"/>
    <w:rsid w:val="005B220C"/>
    <w:rsid w:val="005B4040"/>
    <w:rsid w:val="005B5508"/>
    <w:rsid w:val="005C00D4"/>
    <w:rsid w:val="005C2380"/>
    <w:rsid w:val="005C2F9C"/>
    <w:rsid w:val="005C3559"/>
    <w:rsid w:val="005C5257"/>
    <w:rsid w:val="005C53DA"/>
    <w:rsid w:val="005C5DDE"/>
    <w:rsid w:val="005D3665"/>
    <w:rsid w:val="005D6931"/>
    <w:rsid w:val="005E07ED"/>
    <w:rsid w:val="005E0AB6"/>
    <w:rsid w:val="005E27B6"/>
    <w:rsid w:val="005F080C"/>
    <w:rsid w:val="005F1225"/>
    <w:rsid w:val="005F1245"/>
    <w:rsid w:val="005F5D98"/>
    <w:rsid w:val="005F6274"/>
    <w:rsid w:val="005F6400"/>
    <w:rsid w:val="005F7A5D"/>
    <w:rsid w:val="00602230"/>
    <w:rsid w:val="00605882"/>
    <w:rsid w:val="00607218"/>
    <w:rsid w:val="006120E4"/>
    <w:rsid w:val="006217E9"/>
    <w:rsid w:val="0063718C"/>
    <w:rsid w:val="00637E6D"/>
    <w:rsid w:val="00645982"/>
    <w:rsid w:val="00646501"/>
    <w:rsid w:val="006471B6"/>
    <w:rsid w:val="006509DA"/>
    <w:rsid w:val="00650AD4"/>
    <w:rsid w:val="006511F5"/>
    <w:rsid w:val="00651477"/>
    <w:rsid w:val="00652120"/>
    <w:rsid w:val="0065454A"/>
    <w:rsid w:val="00655BD2"/>
    <w:rsid w:val="00656AAD"/>
    <w:rsid w:val="006570C5"/>
    <w:rsid w:val="00664C61"/>
    <w:rsid w:val="00666682"/>
    <w:rsid w:val="0067084F"/>
    <w:rsid w:val="006711D1"/>
    <w:rsid w:val="0067122C"/>
    <w:rsid w:val="00671590"/>
    <w:rsid w:val="0067222F"/>
    <w:rsid w:val="00675517"/>
    <w:rsid w:val="006776E5"/>
    <w:rsid w:val="00680F9B"/>
    <w:rsid w:val="00687116"/>
    <w:rsid w:val="006A088F"/>
    <w:rsid w:val="006A20E6"/>
    <w:rsid w:val="006A25F8"/>
    <w:rsid w:val="006A3902"/>
    <w:rsid w:val="006A545D"/>
    <w:rsid w:val="006A5B66"/>
    <w:rsid w:val="006A5E6F"/>
    <w:rsid w:val="006A616E"/>
    <w:rsid w:val="006B200D"/>
    <w:rsid w:val="006B2F5A"/>
    <w:rsid w:val="006B6242"/>
    <w:rsid w:val="006C0DBF"/>
    <w:rsid w:val="006C22EA"/>
    <w:rsid w:val="006C35E2"/>
    <w:rsid w:val="006C3EFF"/>
    <w:rsid w:val="006C41D3"/>
    <w:rsid w:val="006C5979"/>
    <w:rsid w:val="006C6433"/>
    <w:rsid w:val="006C7613"/>
    <w:rsid w:val="006D0F55"/>
    <w:rsid w:val="006D3B4F"/>
    <w:rsid w:val="006D4330"/>
    <w:rsid w:val="006E0BC2"/>
    <w:rsid w:val="006F0090"/>
    <w:rsid w:val="006F1B11"/>
    <w:rsid w:val="006F3906"/>
    <w:rsid w:val="006F5A2C"/>
    <w:rsid w:val="006F68C5"/>
    <w:rsid w:val="006F760D"/>
    <w:rsid w:val="006F78ED"/>
    <w:rsid w:val="00701B0D"/>
    <w:rsid w:val="00704875"/>
    <w:rsid w:val="007077B3"/>
    <w:rsid w:val="00710E46"/>
    <w:rsid w:val="007120AB"/>
    <w:rsid w:val="00712C78"/>
    <w:rsid w:val="00714901"/>
    <w:rsid w:val="007154EA"/>
    <w:rsid w:val="00715FD9"/>
    <w:rsid w:val="0072060F"/>
    <w:rsid w:val="007236D2"/>
    <w:rsid w:val="007305DD"/>
    <w:rsid w:val="00731F39"/>
    <w:rsid w:val="007323DE"/>
    <w:rsid w:val="00732857"/>
    <w:rsid w:val="007346D5"/>
    <w:rsid w:val="007356D0"/>
    <w:rsid w:val="007359BA"/>
    <w:rsid w:val="00735CEA"/>
    <w:rsid w:val="00737690"/>
    <w:rsid w:val="007432F3"/>
    <w:rsid w:val="0074449D"/>
    <w:rsid w:val="00751370"/>
    <w:rsid w:val="007528AE"/>
    <w:rsid w:val="00753A70"/>
    <w:rsid w:val="00753ABA"/>
    <w:rsid w:val="00754F42"/>
    <w:rsid w:val="00754FA1"/>
    <w:rsid w:val="00755985"/>
    <w:rsid w:val="00762256"/>
    <w:rsid w:val="00764F75"/>
    <w:rsid w:val="007658B4"/>
    <w:rsid w:val="0076601E"/>
    <w:rsid w:val="0076633B"/>
    <w:rsid w:val="00766353"/>
    <w:rsid w:val="00771937"/>
    <w:rsid w:val="007739A4"/>
    <w:rsid w:val="00774017"/>
    <w:rsid w:val="00777E6D"/>
    <w:rsid w:val="00777EE6"/>
    <w:rsid w:val="007810C1"/>
    <w:rsid w:val="00781377"/>
    <w:rsid w:val="00781740"/>
    <w:rsid w:val="00784088"/>
    <w:rsid w:val="00784490"/>
    <w:rsid w:val="00785DBD"/>
    <w:rsid w:val="00792A40"/>
    <w:rsid w:val="007950BA"/>
    <w:rsid w:val="007A04F9"/>
    <w:rsid w:val="007A0ED5"/>
    <w:rsid w:val="007A1693"/>
    <w:rsid w:val="007A419B"/>
    <w:rsid w:val="007A52D9"/>
    <w:rsid w:val="007B1D16"/>
    <w:rsid w:val="007B1E0A"/>
    <w:rsid w:val="007B4D67"/>
    <w:rsid w:val="007B5DEB"/>
    <w:rsid w:val="007C4FA6"/>
    <w:rsid w:val="007C5556"/>
    <w:rsid w:val="007C58C1"/>
    <w:rsid w:val="007D4D26"/>
    <w:rsid w:val="007D65B9"/>
    <w:rsid w:val="007D715C"/>
    <w:rsid w:val="007E0092"/>
    <w:rsid w:val="007E10B6"/>
    <w:rsid w:val="007E1107"/>
    <w:rsid w:val="007E2A52"/>
    <w:rsid w:val="007E71FA"/>
    <w:rsid w:val="007F3E67"/>
    <w:rsid w:val="007F5E2D"/>
    <w:rsid w:val="00806DDE"/>
    <w:rsid w:val="00812152"/>
    <w:rsid w:val="00814B0C"/>
    <w:rsid w:val="008201B7"/>
    <w:rsid w:val="008207A2"/>
    <w:rsid w:val="00823E0B"/>
    <w:rsid w:val="0082672D"/>
    <w:rsid w:val="00830C06"/>
    <w:rsid w:val="0083323E"/>
    <w:rsid w:val="00834A8C"/>
    <w:rsid w:val="008358ED"/>
    <w:rsid w:val="0083673B"/>
    <w:rsid w:val="0083730A"/>
    <w:rsid w:val="00842B00"/>
    <w:rsid w:val="0084536F"/>
    <w:rsid w:val="0084585F"/>
    <w:rsid w:val="008547AB"/>
    <w:rsid w:val="00855B03"/>
    <w:rsid w:val="00855D73"/>
    <w:rsid w:val="008562B2"/>
    <w:rsid w:val="0086049E"/>
    <w:rsid w:val="008651A1"/>
    <w:rsid w:val="00866CEA"/>
    <w:rsid w:val="00871701"/>
    <w:rsid w:val="00875170"/>
    <w:rsid w:val="00875D1E"/>
    <w:rsid w:val="00880815"/>
    <w:rsid w:val="008820E4"/>
    <w:rsid w:val="00882E90"/>
    <w:rsid w:val="008863E9"/>
    <w:rsid w:val="00890ACE"/>
    <w:rsid w:val="00891907"/>
    <w:rsid w:val="00895703"/>
    <w:rsid w:val="008A1E4E"/>
    <w:rsid w:val="008A2614"/>
    <w:rsid w:val="008A26E8"/>
    <w:rsid w:val="008A3C5B"/>
    <w:rsid w:val="008A7AF2"/>
    <w:rsid w:val="008B1A88"/>
    <w:rsid w:val="008B3600"/>
    <w:rsid w:val="008B5648"/>
    <w:rsid w:val="008C170F"/>
    <w:rsid w:val="008C57C1"/>
    <w:rsid w:val="008C6882"/>
    <w:rsid w:val="008D0C44"/>
    <w:rsid w:val="008D34BA"/>
    <w:rsid w:val="008D4784"/>
    <w:rsid w:val="008D4A9B"/>
    <w:rsid w:val="008D4DFD"/>
    <w:rsid w:val="008D5F7F"/>
    <w:rsid w:val="008D62F9"/>
    <w:rsid w:val="008D689B"/>
    <w:rsid w:val="008E0261"/>
    <w:rsid w:val="008E09A5"/>
    <w:rsid w:val="008E48E8"/>
    <w:rsid w:val="008E55F4"/>
    <w:rsid w:val="008E60B8"/>
    <w:rsid w:val="008E6788"/>
    <w:rsid w:val="008E707F"/>
    <w:rsid w:val="008F45A8"/>
    <w:rsid w:val="008F6B7E"/>
    <w:rsid w:val="00900E6F"/>
    <w:rsid w:val="009021F1"/>
    <w:rsid w:val="009044CF"/>
    <w:rsid w:val="00906FD9"/>
    <w:rsid w:val="00910C86"/>
    <w:rsid w:val="009128A3"/>
    <w:rsid w:val="00914C87"/>
    <w:rsid w:val="00915381"/>
    <w:rsid w:val="00917903"/>
    <w:rsid w:val="0092040F"/>
    <w:rsid w:val="009222E8"/>
    <w:rsid w:val="00924046"/>
    <w:rsid w:val="009273C2"/>
    <w:rsid w:val="00933EA1"/>
    <w:rsid w:val="00934213"/>
    <w:rsid w:val="00940C26"/>
    <w:rsid w:val="009420A3"/>
    <w:rsid w:val="00943115"/>
    <w:rsid w:val="00943510"/>
    <w:rsid w:val="00947AFB"/>
    <w:rsid w:val="009530BE"/>
    <w:rsid w:val="00953B92"/>
    <w:rsid w:val="00960350"/>
    <w:rsid w:val="009614F2"/>
    <w:rsid w:val="00961B98"/>
    <w:rsid w:val="009624E3"/>
    <w:rsid w:val="00963A71"/>
    <w:rsid w:val="00965F87"/>
    <w:rsid w:val="009667CB"/>
    <w:rsid w:val="009669EE"/>
    <w:rsid w:val="00980A60"/>
    <w:rsid w:val="009866BD"/>
    <w:rsid w:val="0098722A"/>
    <w:rsid w:val="0099080A"/>
    <w:rsid w:val="00993CF0"/>
    <w:rsid w:val="00993F6B"/>
    <w:rsid w:val="009952D3"/>
    <w:rsid w:val="00997046"/>
    <w:rsid w:val="009A3AA3"/>
    <w:rsid w:val="009A411D"/>
    <w:rsid w:val="009A6C20"/>
    <w:rsid w:val="009B0010"/>
    <w:rsid w:val="009B0AC4"/>
    <w:rsid w:val="009B1873"/>
    <w:rsid w:val="009B1988"/>
    <w:rsid w:val="009B20BA"/>
    <w:rsid w:val="009B273C"/>
    <w:rsid w:val="009B5C71"/>
    <w:rsid w:val="009C036A"/>
    <w:rsid w:val="009D2887"/>
    <w:rsid w:val="009D2F7F"/>
    <w:rsid w:val="009D7537"/>
    <w:rsid w:val="009E37B4"/>
    <w:rsid w:val="009E3FEA"/>
    <w:rsid w:val="009E46E4"/>
    <w:rsid w:val="009E53AF"/>
    <w:rsid w:val="009E7790"/>
    <w:rsid w:val="009F12E8"/>
    <w:rsid w:val="009F636E"/>
    <w:rsid w:val="009F6859"/>
    <w:rsid w:val="00A04E1B"/>
    <w:rsid w:val="00A054E2"/>
    <w:rsid w:val="00A11722"/>
    <w:rsid w:val="00A11D02"/>
    <w:rsid w:val="00A12FDD"/>
    <w:rsid w:val="00A15217"/>
    <w:rsid w:val="00A15330"/>
    <w:rsid w:val="00A15B2F"/>
    <w:rsid w:val="00A161AF"/>
    <w:rsid w:val="00A163FF"/>
    <w:rsid w:val="00A17883"/>
    <w:rsid w:val="00A21542"/>
    <w:rsid w:val="00A217D6"/>
    <w:rsid w:val="00A24A08"/>
    <w:rsid w:val="00A26571"/>
    <w:rsid w:val="00A26EE7"/>
    <w:rsid w:val="00A27DBB"/>
    <w:rsid w:val="00A31437"/>
    <w:rsid w:val="00A34061"/>
    <w:rsid w:val="00A35BD9"/>
    <w:rsid w:val="00A438FD"/>
    <w:rsid w:val="00A4583B"/>
    <w:rsid w:val="00A467B7"/>
    <w:rsid w:val="00A47802"/>
    <w:rsid w:val="00A515A8"/>
    <w:rsid w:val="00A5201B"/>
    <w:rsid w:val="00A52118"/>
    <w:rsid w:val="00A55015"/>
    <w:rsid w:val="00A57190"/>
    <w:rsid w:val="00A5737C"/>
    <w:rsid w:val="00A57447"/>
    <w:rsid w:val="00A57510"/>
    <w:rsid w:val="00A57939"/>
    <w:rsid w:val="00A62D7E"/>
    <w:rsid w:val="00A6301B"/>
    <w:rsid w:val="00A646D7"/>
    <w:rsid w:val="00A65679"/>
    <w:rsid w:val="00A67A97"/>
    <w:rsid w:val="00A71EFE"/>
    <w:rsid w:val="00A8324D"/>
    <w:rsid w:val="00A8511A"/>
    <w:rsid w:val="00A86217"/>
    <w:rsid w:val="00A877BE"/>
    <w:rsid w:val="00A9171C"/>
    <w:rsid w:val="00A94519"/>
    <w:rsid w:val="00A960CD"/>
    <w:rsid w:val="00A96878"/>
    <w:rsid w:val="00A9721F"/>
    <w:rsid w:val="00A97EBB"/>
    <w:rsid w:val="00AA2571"/>
    <w:rsid w:val="00AA4443"/>
    <w:rsid w:val="00AB00EE"/>
    <w:rsid w:val="00AB08D6"/>
    <w:rsid w:val="00AB43FF"/>
    <w:rsid w:val="00AC662E"/>
    <w:rsid w:val="00AD212A"/>
    <w:rsid w:val="00AD3CFC"/>
    <w:rsid w:val="00AD542C"/>
    <w:rsid w:val="00AD57BD"/>
    <w:rsid w:val="00AD69DD"/>
    <w:rsid w:val="00AD6E21"/>
    <w:rsid w:val="00AE2405"/>
    <w:rsid w:val="00AE5971"/>
    <w:rsid w:val="00AE6092"/>
    <w:rsid w:val="00AE7692"/>
    <w:rsid w:val="00AE7A6D"/>
    <w:rsid w:val="00AF23F8"/>
    <w:rsid w:val="00AF2777"/>
    <w:rsid w:val="00B00273"/>
    <w:rsid w:val="00B00513"/>
    <w:rsid w:val="00B021AA"/>
    <w:rsid w:val="00B055E6"/>
    <w:rsid w:val="00B11B02"/>
    <w:rsid w:val="00B125FB"/>
    <w:rsid w:val="00B136C6"/>
    <w:rsid w:val="00B162CC"/>
    <w:rsid w:val="00B200E0"/>
    <w:rsid w:val="00B23E41"/>
    <w:rsid w:val="00B25A3F"/>
    <w:rsid w:val="00B311DD"/>
    <w:rsid w:val="00B33FC1"/>
    <w:rsid w:val="00B349B1"/>
    <w:rsid w:val="00B401A8"/>
    <w:rsid w:val="00B40F40"/>
    <w:rsid w:val="00B5566C"/>
    <w:rsid w:val="00B605DC"/>
    <w:rsid w:val="00B62223"/>
    <w:rsid w:val="00B641C8"/>
    <w:rsid w:val="00B666EC"/>
    <w:rsid w:val="00B72C2D"/>
    <w:rsid w:val="00B770F8"/>
    <w:rsid w:val="00B81ACD"/>
    <w:rsid w:val="00B8738D"/>
    <w:rsid w:val="00B90A01"/>
    <w:rsid w:val="00B92262"/>
    <w:rsid w:val="00B93EB0"/>
    <w:rsid w:val="00B959D8"/>
    <w:rsid w:val="00B96760"/>
    <w:rsid w:val="00B97EE8"/>
    <w:rsid w:val="00BA248F"/>
    <w:rsid w:val="00BA2731"/>
    <w:rsid w:val="00BA3519"/>
    <w:rsid w:val="00BA5C7D"/>
    <w:rsid w:val="00BA7938"/>
    <w:rsid w:val="00BB0EEE"/>
    <w:rsid w:val="00BB2CB7"/>
    <w:rsid w:val="00BB48F7"/>
    <w:rsid w:val="00BC0F92"/>
    <w:rsid w:val="00BC49B6"/>
    <w:rsid w:val="00BC5A63"/>
    <w:rsid w:val="00BC78EF"/>
    <w:rsid w:val="00BC79EE"/>
    <w:rsid w:val="00BD03A4"/>
    <w:rsid w:val="00BD19D6"/>
    <w:rsid w:val="00BD24EB"/>
    <w:rsid w:val="00BD2AEA"/>
    <w:rsid w:val="00BD2C3B"/>
    <w:rsid w:val="00BD2FDF"/>
    <w:rsid w:val="00BD3CF8"/>
    <w:rsid w:val="00BD4E78"/>
    <w:rsid w:val="00BD59AA"/>
    <w:rsid w:val="00BD66D2"/>
    <w:rsid w:val="00BD6985"/>
    <w:rsid w:val="00BD6B39"/>
    <w:rsid w:val="00BD78B7"/>
    <w:rsid w:val="00BE133E"/>
    <w:rsid w:val="00BE22ED"/>
    <w:rsid w:val="00BE27F6"/>
    <w:rsid w:val="00BE4C9A"/>
    <w:rsid w:val="00BE6866"/>
    <w:rsid w:val="00BE6C36"/>
    <w:rsid w:val="00BE75BD"/>
    <w:rsid w:val="00BF1165"/>
    <w:rsid w:val="00BF2BCB"/>
    <w:rsid w:val="00BF66EA"/>
    <w:rsid w:val="00BF79DB"/>
    <w:rsid w:val="00BF7A5D"/>
    <w:rsid w:val="00C06037"/>
    <w:rsid w:val="00C06ADC"/>
    <w:rsid w:val="00C079A9"/>
    <w:rsid w:val="00C102A7"/>
    <w:rsid w:val="00C10D27"/>
    <w:rsid w:val="00C13F87"/>
    <w:rsid w:val="00C14D9D"/>
    <w:rsid w:val="00C15615"/>
    <w:rsid w:val="00C16321"/>
    <w:rsid w:val="00C163E1"/>
    <w:rsid w:val="00C1710D"/>
    <w:rsid w:val="00C201E6"/>
    <w:rsid w:val="00C216DC"/>
    <w:rsid w:val="00C230C7"/>
    <w:rsid w:val="00C23626"/>
    <w:rsid w:val="00C23A4E"/>
    <w:rsid w:val="00C24374"/>
    <w:rsid w:val="00C2489A"/>
    <w:rsid w:val="00C24EB8"/>
    <w:rsid w:val="00C31EC6"/>
    <w:rsid w:val="00C34AAA"/>
    <w:rsid w:val="00C37048"/>
    <w:rsid w:val="00C41ACF"/>
    <w:rsid w:val="00C42042"/>
    <w:rsid w:val="00C42223"/>
    <w:rsid w:val="00C422A9"/>
    <w:rsid w:val="00C45E50"/>
    <w:rsid w:val="00C461F1"/>
    <w:rsid w:val="00C50B93"/>
    <w:rsid w:val="00C5474C"/>
    <w:rsid w:val="00C54A7C"/>
    <w:rsid w:val="00C603C9"/>
    <w:rsid w:val="00C60752"/>
    <w:rsid w:val="00C6208A"/>
    <w:rsid w:val="00C65DEE"/>
    <w:rsid w:val="00C700A2"/>
    <w:rsid w:val="00C73C9B"/>
    <w:rsid w:val="00C80629"/>
    <w:rsid w:val="00C825FC"/>
    <w:rsid w:val="00C83677"/>
    <w:rsid w:val="00C8560C"/>
    <w:rsid w:val="00C91AE0"/>
    <w:rsid w:val="00C945F1"/>
    <w:rsid w:val="00C952F5"/>
    <w:rsid w:val="00C96D14"/>
    <w:rsid w:val="00C975C9"/>
    <w:rsid w:val="00CB073A"/>
    <w:rsid w:val="00CB2FA2"/>
    <w:rsid w:val="00CB315C"/>
    <w:rsid w:val="00CB530F"/>
    <w:rsid w:val="00CB5943"/>
    <w:rsid w:val="00CC1B48"/>
    <w:rsid w:val="00CC32F0"/>
    <w:rsid w:val="00CC3CFF"/>
    <w:rsid w:val="00CC4076"/>
    <w:rsid w:val="00CC4AF9"/>
    <w:rsid w:val="00CC5716"/>
    <w:rsid w:val="00CD01DB"/>
    <w:rsid w:val="00CD1C70"/>
    <w:rsid w:val="00CD64CF"/>
    <w:rsid w:val="00CE087B"/>
    <w:rsid w:val="00CE1166"/>
    <w:rsid w:val="00CF0FE5"/>
    <w:rsid w:val="00CF3201"/>
    <w:rsid w:val="00CF3CA0"/>
    <w:rsid w:val="00CF53C8"/>
    <w:rsid w:val="00CF5C49"/>
    <w:rsid w:val="00CF5D54"/>
    <w:rsid w:val="00D000BD"/>
    <w:rsid w:val="00D0334F"/>
    <w:rsid w:val="00D06E54"/>
    <w:rsid w:val="00D07250"/>
    <w:rsid w:val="00D14955"/>
    <w:rsid w:val="00D16DD7"/>
    <w:rsid w:val="00D173E4"/>
    <w:rsid w:val="00D224E3"/>
    <w:rsid w:val="00D231C1"/>
    <w:rsid w:val="00D25DF8"/>
    <w:rsid w:val="00D305F7"/>
    <w:rsid w:val="00D34F56"/>
    <w:rsid w:val="00D36F8C"/>
    <w:rsid w:val="00D37A29"/>
    <w:rsid w:val="00D37F62"/>
    <w:rsid w:val="00D40517"/>
    <w:rsid w:val="00D40C86"/>
    <w:rsid w:val="00D42B16"/>
    <w:rsid w:val="00D43AE4"/>
    <w:rsid w:val="00D5060B"/>
    <w:rsid w:val="00D52D46"/>
    <w:rsid w:val="00D623ED"/>
    <w:rsid w:val="00D628DB"/>
    <w:rsid w:val="00D63643"/>
    <w:rsid w:val="00D63C40"/>
    <w:rsid w:val="00D65F77"/>
    <w:rsid w:val="00D7194C"/>
    <w:rsid w:val="00D74914"/>
    <w:rsid w:val="00D7631B"/>
    <w:rsid w:val="00D76D06"/>
    <w:rsid w:val="00D81743"/>
    <w:rsid w:val="00D82B36"/>
    <w:rsid w:val="00D83AC5"/>
    <w:rsid w:val="00D9018D"/>
    <w:rsid w:val="00D91DF3"/>
    <w:rsid w:val="00D94493"/>
    <w:rsid w:val="00D952FE"/>
    <w:rsid w:val="00DA006E"/>
    <w:rsid w:val="00DA0685"/>
    <w:rsid w:val="00DA21A3"/>
    <w:rsid w:val="00DA492F"/>
    <w:rsid w:val="00DA4ED1"/>
    <w:rsid w:val="00DB451D"/>
    <w:rsid w:val="00DB49D6"/>
    <w:rsid w:val="00DB7904"/>
    <w:rsid w:val="00DC3DB7"/>
    <w:rsid w:val="00DC6185"/>
    <w:rsid w:val="00DD175A"/>
    <w:rsid w:val="00DD1C3D"/>
    <w:rsid w:val="00DD29C0"/>
    <w:rsid w:val="00DD3B9A"/>
    <w:rsid w:val="00DD6532"/>
    <w:rsid w:val="00DD67B6"/>
    <w:rsid w:val="00DE086C"/>
    <w:rsid w:val="00DE289E"/>
    <w:rsid w:val="00DE3331"/>
    <w:rsid w:val="00DE3B8C"/>
    <w:rsid w:val="00DE41B9"/>
    <w:rsid w:val="00DE78D5"/>
    <w:rsid w:val="00DF2812"/>
    <w:rsid w:val="00DF57DA"/>
    <w:rsid w:val="00E014DD"/>
    <w:rsid w:val="00E01F49"/>
    <w:rsid w:val="00E046C3"/>
    <w:rsid w:val="00E0483F"/>
    <w:rsid w:val="00E0786C"/>
    <w:rsid w:val="00E07BA4"/>
    <w:rsid w:val="00E11B28"/>
    <w:rsid w:val="00E149BB"/>
    <w:rsid w:val="00E2474F"/>
    <w:rsid w:val="00E252BF"/>
    <w:rsid w:val="00E25A94"/>
    <w:rsid w:val="00E26CBC"/>
    <w:rsid w:val="00E30671"/>
    <w:rsid w:val="00E30764"/>
    <w:rsid w:val="00E30BC0"/>
    <w:rsid w:val="00E320FB"/>
    <w:rsid w:val="00E3336E"/>
    <w:rsid w:val="00E3360F"/>
    <w:rsid w:val="00E33A75"/>
    <w:rsid w:val="00E343B0"/>
    <w:rsid w:val="00E40B48"/>
    <w:rsid w:val="00E42171"/>
    <w:rsid w:val="00E432D3"/>
    <w:rsid w:val="00E50CFB"/>
    <w:rsid w:val="00E51B2E"/>
    <w:rsid w:val="00E540B8"/>
    <w:rsid w:val="00E545BD"/>
    <w:rsid w:val="00E56EC0"/>
    <w:rsid w:val="00E618C4"/>
    <w:rsid w:val="00E644C7"/>
    <w:rsid w:val="00E644F4"/>
    <w:rsid w:val="00E67643"/>
    <w:rsid w:val="00E71C24"/>
    <w:rsid w:val="00E731A2"/>
    <w:rsid w:val="00E751DD"/>
    <w:rsid w:val="00E7574A"/>
    <w:rsid w:val="00E7708B"/>
    <w:rsid w:val="00E7720F"/>
    <w:rsid w:val="00E77682"/>
    <w:rsid w:val="00E776C9"/>
    <w:rsid w:val="00E80E63"/>
    <w:rsid w:val="00E82F14"/>
    <w:rsid w:val="00E8392D"/>
    <w:rsid w:val="00E916DD"/>
    <w:rsid w:val="00E91F73"/>
    <w:rsid w:val="00E93355"/>
    <w:rsid w:val="00E9367B"/>
    <w:rsid w:val="00E956CE"/>
    <w:rsid w:val="00EA000F"/>
    <w:rsid w:val="00EA1FA1"/>
    <w:rsid w:val="00EA5DDC"/>
    <w:rsid w:val="00EA6E7E"/>
    <w:rsid w:val="00EA72A8"/>
    <w:rsid w:val="00EA7653"/>
    <w:rsid w:val="00EB09F6"/>
    <w:rsid w:val="00EB32E3"/>
    <w:rsid w:val="00EB50B1"/>
    <w:rsid w:val="00EB6DEF"/>
    <w:rsid w:val="00EB6E03"/>
    <w:rsid w:val="00EC0938"/>
    <w:rsid w:val="00EC11CD"/>
    <w:rsid w:val="00EC2833"/>
    <w:rsid w:val="00EC2DE9"/>
    <w:rsid w:val="00EC3F8C"/>
    <w:rsid w:val="00ED0937"/>
    <w:rsid w:val="00ED2BFA"/>
    <w:rsid w:val="00ED3616"/>
    <w:rsid w:val="00ED3E0B"/>
    <w:rsid w:val="00ED4E93"/>
    <w:rsid w:val="00ED52EF"/>
    <w:rsid w:val="00ED5A98"/>
    <w:rsid w:val="00EE028F"/>
    <w:rsid w:val="00EE77C5"/>
    <w:rsid w:val="00EF0985"/>
    <w:rsid w:val="00EF0A22"/>
    <w:rsid w:val="00EF0C9C"/>
    <w:rsid w:val="00EF51C0"/>
    <w:rsid w:val="00EF6E6F"/>
    <w:rsid w:val="00F02C4C"/>
    <w:rsid w:val="00F04810"/>
    <w:rsid w:val="00F07371"/>
    <w:rsid w:val="00F100CA"/>
    <w:rsid w:val="00F13C64"/>
    <w:rsid w:val="00F243BD"/>
    <w:rsid w:val="00F26180"/>
    <w:rsid w:val="00F26D1F"/>
    <w:rsid w:val="00F307FD"/>
    <w:rsid w:val="00F34DD4"/>
    <w:rsid w:val="00F40C87"/>
    <w:rsid w:val="00F410EA"/>
    <w:rsid w:val="00F44C07"/>
    <w:rsid w:val="00F45A0F"/>
    <w:rsid w:val="00F62D80"/>
    <w:rsid w:val="00F6325F"/>
    <w:rsid w:val="00F66899"/>
    <w:rsid w:val="00F706FF"/>
    <w:rsid w:val="00F779BF"/>
    <w:rsid w:val="00F82045"/>
    <w:rsid w:val="00F826A0"/>
    <w:rsid w:val="00F82D97"/>
    <w:rsid w:val="00F84D8F"/>
    <w:rsid w:val="00F87884"/>
    <w:rsid w:val="00F955C2"/>
    <w:rsid w:val="00F9582A"/>
    <w:rsid w:val="00FA039A"/>
    <w:rsid w:val="00FA0B4C"/>
    <w:rsid w:val="00FA1B41"/>
    <w:rsid w:val="00FA2E77"/>
    <w:rsid w:val="00FA5C9C"/>
    <w:rsid w:val="00FA68BF"/>
    <w:rsid w:val="00FB2E72"/>
    <w:rsid w:val="00FB7FB0"/>
    <w:rsid w:val="00FC2ED9"/>
    <w:rsid w:val="00FC33E7"/>
    <w:rsid w:val="00FC3A51"/>
    <w:rsid w:val="00FC6001"/>
    <w:rsid w:val="00FC65F0"/>
    <w:rsid w:val="00FC6645"/>
    <w:rsid w:val="00FD074F"/>
    <w:rsid w:val="00FD0B59"/>
    <w:rsid w:val="00FD7464"/>
    <w:rsid w:val="00FE0743"/>
    <w:rsid w:val="00FE230D"/>
    <w:rsid w:val="00FE2C07"/>
    <w:rsid w:val="00FE740E"/>
    <w:rsid w:val="00FF2CF6"/>
    <w:rsid w:val="00FF32A5"/>
    <w:rsid w:val="00FF3F8D"/>
    <w:rsid w:val="00FF4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EC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B86"/>
    <w:rPr>
      <w:rFonts w:ascii="Arial" w:hAnsi="Arial"/>
      <w:szCs w:val="20"/>
    </w:rPr>
  </w:style>
  <w:style w:type="paragraph" w:styleId="Heading1">
    <w:name w:val="heading 1"/>
    <w:basedOn w:val="Normal"/>
    <w:next w:val="Normal"/>
    <w:link w:val="Heading1Char"/>
    <w:uiPriority w:val="99"/>
    <w:qFormat/>
    <w:rsid w:val="00361AD3"/>
    <w:pPr>
      <w:keepNext/>
      <w:tabs>
        <w:tab w:val="left" w:pos="252"/>
        <w:tab w:val="left" w:pos="342"/>
      </w:tabs>
      <w:suppressAutoHyphens/>
      <w:jc w:val="both"/>
      <w:outlineLvl w:val="0"/>
    </w:pPr>
    <w:rPr>
      <w:b/>
      <w:spacing w:val="-2"/>
      <w:sz w:val="20"/>
    </w:rPr>
  </w:style>
  <w:style w:type="paragraph" w:styleId="Heading2">
    <w:name w:val="heading 2"/>
    <w:basedOn w:val="Normal"/>
    <w:next w:val="Normal"/>
    <w:link w:val="Heading2Char"/>
    <w:uiPriority w:val="99"/>
    <w:qFormat/>
    <w:rsid w:val="00361AD3"/>
    <w:pPr>
      <w:keepNext/>
      <w:tabs>
        <w:tab w:val="left" w:pos="252"/>
        <w:tab w:val="left" w:pos="342"/>
      </w:tabs>
      <w:suppressAutoHyphens/>
      <w:ind w:left="252"/>
      <w:jc w:val="both"/>
      <w:outlineLvl w:val="1"/>
    </w:pPr>
    <w:rPr>
      <w:b/>
      <w:spacing w:val="-2"/>
      <w:sz w:val="20"/>
    </w:rPr>
  </w:style>
  <w:style w:type="paragraph" w:styleId="Heading3">
    <w:name w:val="heading 3"/>
    <w:basedOn w:val="Normal"/>
    <w:next w:val="Normal"/>
    <w:link w:val="Heading3Char"/>
    <w:uiPriority w:val="99"/>
    <w:qFormat/>
    <w:rsid w:val="00361AD3"/>
    <w:pPr>
      <w:keepNext/>
      <w:suppressAutoHyphens/>
      <w:jc w:val="center"/>
      <w:outlineLvl w:val="2"/>
    </w:pPr>
    <w:rPr>
      <w:b/>
      <w:spacing w:val="-2"/>
      <w:sz w:val="20"/>
    </w:rPr>
  </w:style>
  <w:style w:type="paragraph" w:styleId="Heading4">
    <w:name w:val="heading 4"/>
    <w:basedOn w:val="Normal"/>
    <w:next w:val="Normal"/>
    <w:link w:val="Heading4Char"/>
    <w:uiPriority w:val="99"/>
    <w:qFormat/>
    <w:rsid w:val="00361AD3"/>
    <w:pPr>
      <w:keepNext/>
      <w:suppressAutoHyphens/>
      <w:jc w:val="both"/>
      <w:outlineLvl w:val="3"/>
    </w:pPr>
    <w:rPr>
      <w:i/>
      <w:spacing w:val="-2"/>
      <w:sz w:val="20"/>
    </w:rPr>
  </w:style>
  <w:style w:type="paragraph" w:styleId="Heading5">
    <w:name w:val="heading 5"/>
    <w:basedOn w:val="Normal"/>
    <w:next w:val="Normal"/>
    <w:link w:val="Heading5Char"/>
    <w:uiPriority w:val="99"/>
    <w:qFormat/>
    <w:rsid w:val="00361AD3"/>
    <w:pPr>
      <w:keepNext/>
      <w:suppressAutoHyphens/>
      <w:jc w:val="center"/>
      <w:outlineLvl w:val="4"/>
    </w:pPr>
    <w:rPr>
      <w:b/>
      <w:spacing w:val="-3"/>
      <w:sz w:val="20"/>
      <w:u w:val="single"/>
    </w:rPr>
  </w:style>
  <w:style w:type="paragraph" w:styleId="Heading6">
    <w:name w:val="heading 6"/>
    <w:basedOn w:val="Normal"/>
    <w:next w:val="Normal"/>
    <w:link w:val="Heading6Char"/>
    <w:uiPriority w:val="99"/>
    <w:qFormat/>
    <w:rsid w:val="00361AD3"/>
    <w:pPr>
      <w:keepNext/>
      <w:suppressAutoHyphens/>
      <w:outlineLvl w:val="5"/>
    </w:pPr>
    <w:rPr>
      <w:b/>
      <w:spacing w:val="-2"/>
      <w:sz w:val="20"/>
    </w:rPr>
  </w:style>
  <w:style w:type="paragraph" w:styleId="Heading7">
    <w:name w:val="heading 7"/>
    <w:basedOn w:val="Normal"/>
    <w:next w:val="Normal"/>
    <w:link w:val="Heading7Char"/>
    <w:uiPriority w:val="99"/>
    <w:qFormat/>
    <w:rsid w:val="00361AD3"/>
    <w:pPr>
      <w:keepNext/>
      <w:suppressAutoHyphens/>
      <w:jc w:val="both"/>
      <w:outlineLvl w:val="6"/>
    </w:pPr>
    <w:rPr>
      <w:rFonts w:ascii="Times New Roman" w:hAnsi="Times New Roman"/>
      <w:b/>
      <w:bCs/>
      <w:spacing w:val="-2"/>
      <w:u w:val="single"/>
    </w:rPr>
  </w:style>
  <w:style w:type="paragraph" w:styleId="Heading8">
    <w:name w:val="heading 8"/>
    <w:basedOn w:val="Normal"/>
    <w:next w:val="Normal"/>
    <w:link w:val="Heading8Char"/>
    <w:uiPriority w:val="99"/>
    <w:qFormat/>
    <w:rsid w:val="00361AD3"/>
    <w:pPr>
      <w:keepNext/>
      <w:tabs>
        <w:tab w:val="left" w:pos="342"/>
      </w:tabs>
      <w:ind w:left="-18" w:firstLine="18"/>
      <w:outlineLvl w:val="7"/>
    </w:pPr>
    <w:rPr>
      <w:b/>
      <w:sz w:val="20"/>
    </w:rPr>
  </w:style>
  <w:style w:type="paragraph" w:styleId="Heading9">
    <w:name w:val="heading 9"/>
    <w:basedOn w:val="Normal"/>
    <w:next w:val="Normal"/>
    <w:link w:val="Heading9Char"/>
    <w:uiPriority w:val="99"/>
    <w:qFormat/>
    <w:rsid w:val="00361AD3"/>
    <w:pPr>
      <w:keepNext/>
      <w:suppressAutoHyphens/>
      <w:jc w:val="both"/>
      <w:outlineLvl w:val="8"/>
    </w:pPr>
    <w:rPr>
      <w:rFonts w:ascii="Times New Roman" w:hAnsi="Times New Roman"/>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EC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47EC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47EC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locked/>
    <w:rsid w:val="005A19AD"/>
    <w:rPr>
      <w:rFonts w:ascii="Arial" w:hAnsi="Arial" w:cs="Times New Roman"/>
      <w:i/>
      <w:spacing w:val="-2"/>
    </w:rPr>
  </w:style>
  <w:style w:type="character" w:customStyle="1" w:styleId="Heading5Char">
    <w:name w:val="Heading 5 Char"/>
    <w:basedOn w:val="DefaultParagraphFont"/>
    <w:link w:val="Heading5"/>
    <w:uiPriority w:val="9"/>
    <w:semiHidden/>
    <w:rsid w:val="00547EC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47EC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547EC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47EC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47ECE"/>
    <w:rPr>
      <w:rFonts w:asciiTheme="majorHAnsi" w:eastAsiaTheme="majorEastAsia" w:hAnsiTheme="majorHAnsi" w:cstheme="majorBidi"/>
    </w:rPr>
  </w:style>
  <w:style w:type="paragraph" w:styleId="BodyTextIndent">
    <w:name w:val="Body Text Indent"/>
    <w:basedOn w:val="Normal"/>
    <w:link w:val="BodyTextIndentChar"/>
    <w:uiPriority w:val="99"/>
    <w:rsid w:val="00361AD3"/>
    <w:pPr>
      <w:suppressAutoHyphens/>
      <w:ind w:left="1440" w:hanging="720"/>
      <w:jc w:val="both"/>
    </w:pPr>
    <w:rPr>
      <w:rFonts w:ascii="Times New Roman" w:hAnsi="Times New Roman"/>
      <w:spacing w:val="-2"/>
    </w:rPr>
  </w:style>
  <w:style w:type="character" w:customStyle="1" w:styleId="BodyTextIndentChar">
    <w:name w:val="Body Text Indent Char"/>
    <w:basedOn w:val="DefaultParagraphFont"/>
    <w:link w:val="BodyTextIndent"/>
    <w:uiPriority w:val="99"/>
    <w:semiHidden/>
    <w:rsid w:val="00547ECE"/>
    <w:rPr>
      <w:rFonts w:ascii="Arial" w:hAnsi="Arial"/>
      <w:szCs w:val="20"/>
    </w:rPr>
  </w:style>
  <w:style w:type="paragraph" w:styleId="Header">
    <w:name w:val="header"/>
    <w:basedOn w:val="Normal"/>
    <w:link w:val="HeaderChar"/>
    <w:uiPriority w:val="99"/>
    <w:rsid w:val="00361AD3"/>
    <w:pPr>
      <w:tabs>
        <w:tab w:val="center" w:pos="4320"/>
        <w:tab w:val="right" w:pos="8640"/>
      </w:tabs>
    </w:pPr>
  </w:style>
  <w:style w:type="character" w:customStyle="1" w:styleId="HeaderChar">
    <w:name w:val="Header Char"/>
    <w:basedOn w:val="DefaultParagraphFont"/>
    <w:link w:val="Header"/>
    <w:uiPriority w:val="99"/>
    <w:semiHidden/>
    <w:rsid w:val="00547ECE"/>
    <w:rPr>
      <w:rFonts w:ascii="Arial" w:hAnsi="Arial"/>
      <w:szCs w:val="20"/>
    </w:rPr>
  </w:style>
  <w:style w:type="paragraph" w:styleId="Footer">
    <w:name w:val="footer"/>
    <w:basedOn w:val="Normal"/>
    <w:link w:val="FooterChar"/>
    <w:uiPriority w:val="99"/>
    <w:rsid w:val="00361AD3"/>
    <w:pPr>
      <w:tabs>
        <w:tab w:val="center" w:pos="4320"/>
        <w:tab w:val="right" w:pos="8640"/>
      </w:tabs>
    </w:pPr>
  </w:style>
  <w:style w:type="character" w:customStyle="1" w:styleId="FooterChar">
    <w:name w:val="Footer Char"/>
    <w:basedOn w:val="DefaultParagraphFont"/>
    <w:link w:val="Footer"/>
    <w:uiPriority w:val="99"/>
    <w:semiHidden/>
    <w:rsid w:val="00547ECE"/>
    <w:rPr>
      <w:rFonts w:ascii="Arial" w:hAnsi="Arial"/>
      <w:szCs w:val="20"/>
    </w:rPr>
  </w:style>
  <w:style w:type="paragraph" w:styleId="Title">
    <w:name w:val="Title"/>
    <w:basedOn w:val="Normal"/>
    <w:link w:val="TitleChar"/>
    <w:uiPriority w:val="99"/>
    <w:qFormat/>
    <w:rsid w:val="00361AD3"/>
    <w:pPr>
      <w:jc w:val="center"/>
    </w:pPr>
    <w:rPr>
      <w:b/>
      <w:u w:val="single"/>
    </w:rPr>
  </w:style>
  <w:style w:type="character" w:customStyle="1" w:styleId="TitleChar">
    <w:name w:val="Title Char"/>
    <w:basedOn w:val="DefaultParagraphFont"/>
    <w:link w:val="Title"/>
    <w:uiPriority w:val="10"/>
    <w:rsid w:val="00547ECE"/>
    <w:rPr>
      <w:rFonts w:asciiTheme="majorHAnsi" w:eastAsiaTheme="majorEastAsia" w:hAnsiTheme="majorHAnsi" w:cstheme="majorBidi"/>
      <w:b/>
      <w:bCs/>
      <w:kern w:val="28"/>
      <w:sz w:val="32"/>
      <w:szCs w:val="32"/>
    </w:rPr>
  </w:style>
  <w:style w:type="character" w:styleId="PageNumber">
    <w:name w:val="page number"/>
    <w:basedOn w:val="DefaultParagraphFont"/>
    <w:uiPriority w:val="99"/>
    <w:rsid w:val="00361AD3"/>
    <w:rPr>
      <w:rFonts w:cs="Times New Roman"/>
    </w:rPr>
  </w:style>
  <w:style w:type="paragraph" w:styleId="BodyText">
    <w:name w:val="Body Text"/>
    <w:basedOn w:val="Normal"/>
    <w:link w:val="BodyTextChar"/>
    <w:uiPriority w:val="99"/>
    <w:rsid w:val="00361AD3"/>
    <w:pPr>
      <w:tabs>
        <w:tab w:val="left" w:pos="-720"/>
        <w:tab w:val="left" w:pos="9990"/>
      </w:tabs>
      <w:suppressAutoHyphens/>
      <w:ind w:right="18"/>
      <w:jc w:val="both"/>
    </w:pPr>
    <w:rPr>
      <w:spacing w:val="-2"/>
      <w:sz w:val="20"/>
    </w:rPr>
  </w:style>
  <w:style w:type="character" w:customStyle="1" w:styleId="BodyTextChar">
    <w:name w:val="Body Text Char"/>
    <w:basedOn w:val="DefaultParagraphFont"/>
    <w:link w:val="BodyText"/>
    <w:uiPriority w:val="99"/>
    <w:semiHidden/>
    <w:rsid w:val="00547ECE"/>
    <w:rPr>
      <w:rFonts w:ascii="Arial" w:hAnsi="Arial"/>
      <w:szCs w:val="20"/>
    </w:rPr>
  </w:style>
  <w:style w:type="paragraph" w:styleId="BodyText2">
    <w:name w:val="Body Text 2"/>
    <w:basedOn w:val="Normal"/>
    <w:link w:val="BodyText2Char"/>
    <w:uiPriority w:val="99"/>
    <w:rsid w:val="00361AD3"/>
    <w:pPr>
      <w:tabs>
        <w:tab w:val="left" w:pos="1260"/>
        <w:tab w:val="left" w:pos="8100"/>
        <w:tab w:val="decimal" w:pos="9360"/>
      </w:tabs>
      <w:suppressAutoHyphens/>
      <w:jc w:val="both"/>
    </w:pPr>
    <w:rPr>
      <w:spacing w:val="-2"/>
      <w:sz w:val="20"/>
    </w:rPr>
  </w:style>
  <w:style w:type="character" w:customStyle="1" w:styleId="BodyText2Char">
    <w:name w:val="Body Text 2 Char"/>
    <w:basedOn w:val="DefaultParagraphFont"/>
    <w:link w:val="BodyText2"/>
    <w:uiPriority w:val="99"/>
    <w:locked/>
    <w:rsid w:val="000C1DD5"/>
    <w:rPr>
      <w:rFonts w:ascii="Arial" w:hAnsi="Arial" w:cs="Times New Roman"/>
      <w:spacing w:val="-2"/>
    </w:rPr>
  </w:style>
  <w:style w:type="paragraph" w:styleId="BodyText3">
    <w:name w:val="Body Text 3"/>
    <w:basedOn w:val="Normal"/>
    <w:link w:val="BodyText3Char"/>
    <w:uiPriority w:val="99"/>
    <w:rsid w:val="00361AD3"/>
    <w:pPr>
      <w:suppressAutoHyphens/>
    </w:pPr>
    <w:rPr>
      <w:spacing w:val="-2"/>
      <w:sz w:val="20"/>
    </w:rPr>
  </w:style>
  <w:style w:type="character" w:customStyle="1" w:styleId="BodyText3Char">
    <w:name w:val="Body Text 3 Char"/>
    <w:basedOn w:val="DefaultParagraphFont"/>
    <w:link w:val="BodyText3"/>
    <w:uiPriority w:val="99"/>
    <w:locked/>
    <w:rsid w:val="00EC2DE9"/>
    <w:rPr>
      <w:rFonts w:ascii="Arial" w:hAnsi="Arial" w:cs="Times New Roman"/>
      <w:spacing w:val="-2"/>
    </w:rPr>
  </w:style>
  <w:style w:type="paragraph" w:styleId="BodyTextIndent2">
    <w:name w:val="Body Text Indent 2"/>
    <w:basedOn w:val="Normal"/>
    <w:link w:val="BodyTextIndent2Char"/>
    <w:uiPriority w:val="99"/>
    <w:rsid w:val="00361AD3"/>
    <w:pPr>
      <w:suppressAutoHyphens/>
      <w:ind w:left="720"/>
      <w:jc w:val="both"/>
    </w:pPr>
    <w:rPr>
      <w:spacing w:val="-2"/>
      <w:sz w:val="20"/>
    </w:rPr>
  </w:style>
  <w:style w:type="character" w:customStyle="1" w:styleId="BodyTextIndent2Char">
    <w:name w:val="Body Text Indent 2 Char"/>
    <w:basedOn w:val="DefaultParagraphFont"/>
    <w:link w:val="BodyTextIndent2"/>
    <w:uiPriority w:val="99"/>
    <w:semiHidden/>
    <w:rsid w:val="00547ECE"/>
    <w:rPr>
      <w:rFonts w:ascii="Arial" w:hAnsi="Arial"/>
      <w:szCs w:val="20"/>
    </w:rPr>
  </w:style>
  <w:style w:type="paragraph" w:styleId="BlockText">
    <w:name w:val="Block Text"/>
    <w:basedOn w:val="Normal"/>
    <w:uiPriority w:val="99"/>
    <w:rsid w:val="00361AD3"/>
    <w:pPr>
      <w:suppressAutoHyphens/>
      <w:ind w:left="720" w:right="734"/>
      <w:jc w:val="both"/>
    </w:pPr>
    <w:rPr>
      <w:i/>
      <w:spacing w:val="-2"/>
      <w:sz w:val="20"/>
    </w:rPr>
  </w:style>
  <w:style w:type="paragraph" w:styleId="Caption">
    <w:name w:val="caption"/>
    <w:basedOn w:val="Normal"/>
    <w:next w:val="Normal"/>
    <w:uiPriority w:val="99"/>
    <w:qFormat/>
    <w:rsid w:val="00361AD3"/>
    <w:pPr>
      <w:ind w:right="360"/>
      <w:jc w:val="right"/>
    </w:pPr>
    <w:rPr>
      <w:b/>
      <w:sz w:val="20"/>
    </w:rPr>
  </w:style>
  <w:style w:type="paragraph" w:styleId="BalloonText">
    <w:name w:val="Balloon Text"/>
    <w:basedOn w:val="Normal"/>
    <w:link w:val="BalloonTextChar"/>
    <w:uiPriority w:val="99"/>
    <w:semiHidden/>
    <w:rsid w:val="00947AFB"/>
    <w:rPr>
      <w:rFonts w:ascii="Tahoma" w:hAnsi="Tahoma" w:cs="Tahoma"/>
      <w:sz w:val="16"/>
      <w:szCs w:val="16"/>
    </w:rPr>
  </w:style>
  <w:style w:type="character" w:customStyle="1" w:styleId="BalloonTextChar">
    <w:name w:val="Balloon Text Char"/>
    <w:basedOn w:val="DefaultParagraphFont"/>
    <w:link w:val="BalloonText"/>
    <w:uiPriority w:val="99"/>
    <w:semiHidden/>
    <w:rsid w:val="00547ECE"/>
    <w:rPr>
      <w:sz w:val="0"/>
      <w:szCs w:val="0"/>
    </w:rPr>
  </w:style>
  <w:style w:type="paragraph" w:styleId="NormalWeb">
    <w:name w:val="Normal (Web)"/>
    <w:basedOn w:val="Normal"/>
    <w:uiPriority w:val="99"/>
    <w:rsid w:val="00C41ACF"/>
    <w:pPr>
      <w:spacing w:before="100" w:beforeAutospacing="1" w:after="100" w:afterAutospacing="1"/>
    </w:pPr>
    <w:rPr>
      <w:rFonts w:ascii="Times New Roman" w:hAnsi="Times New Roman"/>
      <w:sz w:val="24"/>
      <w:szCs w:val="24"/>
    </w:rPr>
  </w:style>
  <w:style w:type="paragraph" w:customStyle="1" w:styleId="Normal10pt">
    <w:name w:val="Normal + 10 pt"/>
    <w:aliases w:val="Condensed by  0.1 pt"/>
    <w:basedOn w:val="Normal"/>
    <w:uiPriority w:val="99"/>
    <w:rsid w:val="00DD1C3D"/>
    <w:pPr>
      <w:suppressAutoHyphens/>
      <w:jc w:val="both"/>
    </w:pPr>
  </w:style>
  <w:style w:type="character" w:styleId="CommentReference">
    <w:name w:val="annotation reference"/>
    <w:basedOn w:val="DefaultParagraphFont"/>
    <w:uiPriority w:val="99"/>
    <w:semiHidden/>
    <w:rsid w:val="00B96760"/>
    <w:rPr>
      <w:rFonts w:cs="Times New Roman"/>
      <w:sz w:val="16"/>
      <w:szCs w:val="16"/>
    </w:rPr>
  </w:style>
  <w:style w:type="paragraph" w:styleId="CommentText">
    <w:name w:val="annotation text"/>
    <w:basedOn w:val="Normal"/>
    <w:link w:val="CommentTextChar"/>
    <w:uiPriority w:val="99"/>
    <w:semiHidden/>
    <w:rsid w:val="00B96760"/>
    <w:rPr>
      <w:sz w:val="20"/>
    </w:rPr>
  </w:style>
  <w:style w:type="character" w:customStyle="1" w:styleId="CommentTextChar">
    <w:name w:val="Comment Text Char"/>
    <w:basedOn w:val="DefaultParagraphFont"/>
    <w:link w:val="CommentText"/>
    <w:uiPriority w:val="99"/>
    <w:semiHidden/>
    <w:rsid w:val="00547ECE"/>
    <w:rPr>
      <w:rFonts w:ascii="Arial" w:hAnsi="Arial"/>
      <w:sz w:val="20"/>
      <w:szCs w:val="20"/>
    </w:rPr>
  </w:style>
  <w:style w:type="paragraph" w:styleId="CommentSubject">
    <w:name w:val="annotation subject"/>
    <w:basedOn w:val="CommentText"/>
    <w:next w:val="CommentText"/>
    <w:link w:val="CommentSubjectChar"/>
    <w:uiPriority w:val="99"/>
    <w:semiHidden/>
    <w:rsid w:val="00B96760"/>
    <w:rPr>
      <w:b/>
      <w:bCs/>
    </w:rPr>
  </w:style>
  <w:style w:type="character" w:customStyle="1" w:styleId="CommentSubjectChar">
    <w:name w:val="Comment Subject Char"/>
    <w:basedOn w:val="CommentTextChar"/>
    <w:link w:val="CommentSubject"/>
    <w:uiPriority w:val="99"/>
    <w:semiHidden/>
    <w:rsid w:val="00547ECE"/>
    <w:rPr>
      <w:rFonts w:ascii="Arial" w:hAnsi="Arial"/>
      <w:b/>
      <w:bCs/>
      <w:sz w:val="20"/>
      <w:szCs w:val="20"/>
    </w:rPr>
  </w:style>
  <w:style w:type="character" w:customStyle="1" w:styleId="CharChar3">
    <w:name w:val="Char Char3"/>
    <w:basedOn w:val="DefaultParagraphFont"/>
    <w:uiPriority w:val="99"/>
    <w:rsid w:val="000A4F88"/>
    <w:rPr>
      <w:rFonts w:ascii="Arial" w:hAnsi="Arial" w:cs="Times New Roman"/>
      <w:i/>
      <w:spacing w:val="-2"/>
      <w:lang w:val="en-US" w:eastAsia="en-US" w:bidi="ar-SA"/>
    </w:rPr>
  </w:style>
  <w:style w:type="paragraph" w:customStyle="1" w:styleId="Body2">
    <w:name w:val="Body 2"/>
    <w:basedOn w:val="Normal"/>
    <w:link w:val="Body2Char"/>
    <w:uiPriority w:val="99"/>
    <w:rsid w:val="003E1401"/>
    <w:pPr>
      <w:spacing w:after="210" w:line="264" w:lineRule="auto"/>
      <w:ind w:left="709"/>
      <w:jc w:val="both"/>
    </w:pPr>
    <w:rPr>
      <w:sz w:val="21"/>
      <w:szCs w:val="24"/>
      <w:lang w:val="en-GB"/>
    </w:rPr>
  </w:style>
  <w:style w:type="character" w:customStyle="1" w:styleId="Body2Char">
    <w:name w:val="Body 2 Char"/>
    <w:basedOn w:val="DefaultParagraphFont"/>
    <w:link w:val="Body2"/>
    <w:uiPriority w:val="99"/>
    <w:locked/>
    <w:rsid w:val="003E1401"/>
    <w:rPr>
      <w:rFonts w:ascii="Arial" w:hAnsi="Arial" w:cs="Times New Roman"/>
      <w:sz w:val="24"/>
      <w:szCs w:val="24"/>
      <w:lang w:val="en-GB" w:eastAsia="en-US" w:bidi="ar-SA"/>
    </w:rPr>
  </w:style>
  <w:style w:type="paragraph" w:styleId="TOC1">
    <w:name w:val="toc 1"/>
    <w:basedOn w:val="Normal"/>
    <w:next w:val="Normal"/>
    <w:uiPriority w:val="99"/>
    <w:rsid w:val="00D37F62"/>
    <w:pPr>
      <w:tabs>
        <w:tab w:val="right" w:leader="dot" w:pos="9360"/>
      </w:tabs>
      <w:spacing w:after="280"/>
      <w:ind w:left="187" w:right="1080" w:hanging="187"/>
    </w:pPr>
    <w:rPr>
      <w:rFonts w:ascii="Times New Roman" w:hAnsi="Times New Roman"/>
      <w:sz w:val="24"/>
      <w:szCs w:val="24"/>
    </w:rPr>
  </w:style>
  <w:style w:type="paragraph" w:customStyle="1" w:styleId="tblNormal">
    <w:name w:val="tblNormal"/>
    <w:next w:val="Normal"/>
    <w:uiPriority w:val="99"/>
    <w:rsid w:val="00D37F62"/>
    <w:pPr>
      <w:jc w:val="both"/>
    </w:pPr>
    <w:rPr>
      <w:sz w:val="24"/>
      <w:szCs w:val="20"/>
    </w:rPr>
  </w:style>
  <w:style w:type="character" w:styleId="Hyperlink">
    <w:name w:val="Hyperlink"/>
    <w:basedOn w:val="DefaultParagraphFont"/>
    <w:uiPriority w:val="99"/>
    <w:rsid w:val="00D37F62"/>
    <w:rPr>
      <w:rFonts w:cs="Times New Roman"/>
      <w:color w:val="auto"/>
    </w:rPr>
  </w:style>
  <w:style w:type="paragraph" w:customStyle="1" w:styleId="Contents">
    <w:name w:val="Contents"/>
    <w:uiPriority w:val="99"/>
    <w:rsid w:val="00D37F62"/>
    <w:pPr>
      <w:spacing w:before="1120" w:after="320"/>
      <w:jc w:val="center"/>
    </w:pPr>
    <w:rPr>
      <w:b/>
      <w:bCs/>
      <w:sz w:val="28"/>
      <w:szCs w:val="20"/>
    </w:rPr>
  </w:style>
  <w:style w:type="paragraph" w:styleId="TOC2">
    <w:name w:val="toc 2"/>
    <w:basedOn w:val="Normal"/>
    <w:next w:val="Normal"/>
    <w:uiPriority w:val="99"/>
    <w:rsid w:val="00D37F62"/>
    <w:pPr>
      <w:tabs>
        <w:tab w:val="right" w:leader="dot" w:pos="9360"/>
      </w:tabs>
      <w:ind w:left="187" w:right="1080" w:hanging="187"/>
    </w:pPr>
    <w:rPr>
      <w:rFonts w:ascii="Times New Roman" w:hAnsi="Times New Roman"/>
      <w:sz w:val="24"/>
      <w:szCs w:val="24"/>
    </w:rPr>
  </w:style>
  <w:style w:type="paragraph" w:customStyle="1" w:styleId="FSName">
    <w:name w:val="FS Name"/>
    <w:uiPriority w:val="99"/>
    <w:rsid w:val="00E30671"/>
    <w:rPr>
      <w:sz w:val="24"/>
      <w:szCs w:val="20"/>
    </w:rPr>
  </w:style>
  <w:style w:type="paragraph" w:customStyle="1" w:styleId="FSTitle">
    <w:name w:val="FS Title"/>
    <w:next w:val="FSName"/>
    <w:uiPriority w:val="99"/>
    <w:rsid w:val="00E30671"/>
    <w:pPr>
      <w:spacing w:after="280"/>
    </w:pPr>
    <w:rPr>
      <w:bCs/>
      <w:smallCaps/>
      <w:spacing w:val="50"/>
      <w:sz w:val="24"/>
      <w:szCs w:val="20"/>
    </w:rPr>
  </w:style>
  <w:style w:type="paragraph" w:customStyle="1" w:styleId="Level1">
    <w:name w:val="Level 1"/>
    <w:basedOn w:val="Normal"/>
    <w:next w:val="Normal"/>
    <w:uiPriority w:val="99"/>
    <w:rsid w:val="00107976"/>
    <w:pPr>
      <w:numPr>
        <w:numId w:val="2"/>
      </w:numPr>
      <w:spacing w:after="210" w:line="264" w:lineRule="auto"/>
      <w:jc w:val="both"/>
      <w:outlineLvl w:val="0"/>
    </w:pPr>
    <w:rPr>
      <w:sz w:val="21"/>
      <w:szCs w:val="24"/>
      <w:lang w:val="en-GB"/>
    </w:rPr>
  </w:style>
  <w:style w:type="paragraph" w:customStyle="1" w:styleId="Level2">
    <w:name w:val="Level 2"/>
    <w:basedOn w:val="Normal"/>
    <w:next w:val="Normal"/>
    <w:uiPriority w:val="99"/>
    <w:rsid w:val="00107976"/>
    <w:pPr>
      <w:numPr>
        <w:ilvl w:val="1"/>
        <w:numId w:val="2"/>
      </w:numPr>
      <w:spacing w:after="210" w:line="264" w:lineRule="auto"/>
      <w:jc w:val="both"/>
      <w:outlineLvl w:val="1"/>
    </w:pPr>
    <w:rPr>
      <w:sz w:val="21"/>
      <w:szCs w:val="24"/>
      <w:lang w:val="en-GB"/>
    </w:rPr>
  </w:style>
  <w:style w:type="paragraph" w:customStyle="1" w:styleId="Level3">
    <w:name w:val="Level 3"/>
    <w:basedOn w:val="Normal"/>
    <w:next w:val="Normal"/>
    <w:uiPriority w:val="99"/>
    <w:rsid w:val="00107976"/>
    <w:pPr>
      <w:numPr>
        <w:ilvl w:val="2"/>
        <w:numId w:val="2"/>
      </w:numPr>
      <w:spacing w:after="210" w:line="264" w:lineRule="auto"/>
      <w:jc w:val="both"/>
      <w:outlineLvl w:val="2"/>
    </w:pPr>
    <w:rPr>
      <w:sz w:val="21"/>
      <w:szCs w:val="24"/>
      <w:lang w:val="en-GB"/>
    </w:rPr>
  </w:style>
  <w:style w:type="paragraph" w:customStyle="1" w:styleId="Level4">
    <w:name w:val="Level 4"/>
    <w:basedOn w:val="Normal"/>
    <w:next w:val="Normal"/>
    <w:uiPriority w:val="99"/>
    <w:rsid w:val="00107976"/>
    <w:pPr>
      <w:numPr>
        <w:ilvl w:val="3"/>
        <w:numId w:val="2"/>
      </w:numPr>
      <w:spacing w:after="210" w:line="264" w:lineRule="auto"/>
      <w:jc w:val="both"/>
      <w:outlineLvl w:val="3"/>
    </w:pPr>
    <w:rPr>
      <w:sz w:val="21"/>
      <w:szCs w:val="24"/>
      <w:lang w:val="en-GB"/>
    </w:rPr>
  </w:style>
  <w:style w:type="paragraph" w:customStyle="1" w:styleId="Level5">
    <w:name w:val="Level 5"/>
    <w:basedOn w:val="Normal"/>
    <w:next w:val="Normal"/>
    <w:uiPriority w:val="99"/>
    <w:rsid w:val="00107976"/>
    <w:pPr>
      <w:numPr>
        <w:ilvl w:val="4"/>
        <w:numId w:val="2"/>
      </w:numPr>
      <w:spacing w:after="210" w:line="264" w:lineRule="auto"/>
      <w:jc w:val="both"/>
      <w:outlineLvl w:val="4"/>
    </w:pPr>
    <w:rPr>
      <w:sz w:val="21"/>
      <w:szCs w:val="24"/>
      <w:lang w:val="en-GB"/>
    </w:rPr>
  </w:style>
  <w:style w:type="paragraph" w:customStyle="1" w:styleId="Body">
    <w:name w:val="Body"/>
    <w:uiPriority w:val="99"/>
    <w:rsid w:val="00107976"/>
    <w:pPr>
      <w:spacing w:after="280"/>
      <w:jc w:val="both"/>
    </w:pPr>
    <w:rPr>
      <w:sz w:val="24"/>
      <w:szCs w:val="20"/>
    </w:rPr>
  </w:style>
  <w:style w:type="paragraph" w:customStyle="1" w:styleId="co">
    <w:name w:val="co"/>
    <w:basedOn w:val="Normal"/>
    <w:uiPriority w:val="99"/>
    <w:rsid w:val="00125E7A"/>
    <w:pPr>
      <w:spacing w:before="100" w:beforeAutospacing="1" w:after="100" w:afterAutospacing="1"/>
    </w:pPr>
    <w:rPr>
      <w:rFonts w:ascii="Times New Roman" w:hAnsi="Times New Roman"/>
      <w:sz w:val="24"/>
      <w:szCs w:val="24"/>
    </w:rPr>
  </w:style>
  <w:style w:type="character" w:customStyle="1" w:styleId="cm">
    <w:name w:val="cm"/>
    <w:uiPriority w:val="99"/>
    <w:rsid w:val="00125E7A"/>
  </w:style>
  <w:style w:type="paragraph" w:styleId="ListParagraph">
    <w:name w:val="List Paragraph"/>
    <w:basedOn w:val="Normal"/>
    <w:uiPriority w:val="34"/>
    <w:qFormat/>
    <w:rsid w:val="00125E7A"/>
    <w:pPr>
      <w:spacing w:after="200" w:line="276" w:lineRule="auto"/>
      <w:ind w:left="720"/>
      <w:contextualSpacing/>
    </w:pPr>
    <w:rPr>
      <w:rFonts w:ascii="Calibri" w:hAnsi="Calibri"/>
      <w:szCs w:val="22"/>
      <w:lang w:val="en-GB"/>
    </w:rPr>
  </w:style>
  <w:style w:type="paragraph" w:customStyle="1" w:styleId="bt">
    <w:name w:val="bt"/>
    <w:basedOn w:val="Normal"/>
    <w:uiPriority w:val="99"/>
    <w:rsid w:val="00AD212A"/>
    <w:pPr>
      <w:spacing w:before="100" w:beforeAutospacing="1" w:after="100" w:afterAutospacing="1"/>
    </w:pPr>
    <w:rPr>
      <w:rFonts w:ascii="Times New Roman" w:hAnsi="Times New Roman"/>
      <w:sz w:val="24"/>
      <w:szCs w:val="24"/>
    </w:rPr>
  </w:style>
  <w:style w:type="paragraph" w:customStyle="1" w:styleId="bv">
    <w:name w:val="bv"/>
    <w:basedOn w:val="Normal"/>
    <w:uiPriority w:val="99"/>
    <w:rsid w:val="00AD212A"/>
    <w:pPr>
      <w:spacing w:before="100" w:beforeAutospacing="1" w:after="100" w:afterAutospacing="1"/>
    </w:pPr>
    <w:rPr>
      <w:rFonts w:ascii="Times New Roman" w:hAnsi="Times New Roman"/>
      <w:sz w:val="24"/>
      <w:szCs w:val="24"/>
    </w:rPr>
  </w:style>
  <w:style w:type="character" w:customStyle="1" w:styleId="bb">
    <w:name w:val="bb"/>
    <w:basedOn w:val="DefaultParagraphFont"/>
    <w:uiPriority w:val="99"/>
    <w:rsid w:val="00AD212A"/>
    <w:rPr>
      <w:rFonts w:cs="Times New Roman"/>
    </w:rPr>
  </w:style>
  <w:style w:type="character" w:customStyle="1" w:styleId="at">
    <w:name w:val="at"/>
    <w:basedOn w:val="DefaultParagraphFont"/>
    <w:uiPriority w:val="99"/>
    <w:rsid w:val="00AD212A"/>
    <w:rPr>
      <w:rFonts w:cs="Times New Roman"/>
    </w:rPr>
  </w:style>
  <w:style w:type="table" w:styleId="TableGrid">
    <w:name w:val="Table Grid"/>
    <w:basedOn w:val="TableNormal"/>
    <w:rsid w:val="00DA49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753AB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547ECE"/>
    <w:rPr>
      <w:sz w:val="0"/>
      <w:szCs w:val="0"/>
    </w:rPr>
  </w:style>
  <w:style w:type="paragraph" w:customStyle="1" w:styleId="TableParagraph">
    <w:name w:val="Table Paragraph"/>
    <w:basedOn w:val="Normal"/>
    <w:uiPriority w:val="1"/>
    <w:qFormat/>
    <w:rsid w:val="00473624"/>
    <w:pPr>
      <w:widowControl w:val="0"/>
      <w:autoSpaceDE w:val="0"/>
      <w:autoSpaceDN w:val="0"/>
      <w:adjustRightInd w:val="0"/>
    </w:pPr>
    <w:rPr>
      <w:rFonts w:ascii="Times New Roman" w:eastAsiaTheme="minorEastAsia" w:hAnsi="Times New Roman"/>
      <w:sz w:val="24"/>
      <w:szCs w:val="24"/>
    </w:rPr>
  </w:style>
  <w:style w:type="paragraph" w:styleId="Revision">
    <w:name w:val="Revision"/>
    <w:hidden/>
    <w:uiPriority w:val="99"/>
    <w:semiHidden/>
    <w:rsid w:val="001D19F5"/>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B86"/>
    <w:rPr>
      <w:rFonts w:ascii="Arial" w:hAnsi="Arial"/>
      <w:szCs w:val="20"/>
    </w:rPr>
  </w:style>
  <w:style w:type="paragraph" w:styleId="Heading1">
    <w:name w:val="heading 1"/>
    <w:basedOn w:val="Normal"/>
    <w:next w:val="Normal"/>
    <w:link w:val="Heading1Char"/>
    <w:uiPriority w:val="99"/>
    <w:qFormat/>
    <w:rsid w:val="00361AD3"/>
    <w:pPr>
      <w:keepNext/>
      <w:tabs>
        <w:tab w:val="left" w:pos="252"/>
        <w:tab w:val="left" w:pos="342"/>
      </w:tabs>
      <w:suppressAutoHyphens/>
      <w:jc w:val="both"/>
      <w:outlineLvl w:val="0"/>
    </w:pPr>
    <w:rPr>
      <w:b/>
      <w:spacing w:val="-2"/>
      <w:sz w:val="20"/>
    </w:rPr>
  </w:style>
  <w:style w:type="paragraph" w:styleId="Heading2">
    <w:name w:val="heading 2"/>
    <w:basedOn w:val="Normal"/>
    <w:next w:val="Normal"/>
    <w:link w:val="Heading2Char"/>
    <w:uiPriority w:val="99"/>
    <w:qFormat/>
    <w:rsid w:val="00361AD3"/>
    <w:pPr>
      <w:keepNext/>
      <w:tabs>
        <w:tab w:val="left" w:pos="252"/>
        <w:tab w:val="left" w:pos="342"/>
      </w:tabs>
      <w:suppressAutoHyphens/>
      <w:ind w:left="252"/>
      <w:jc w:val="both"/>
      <w:outlineLvl w:val="1"/>
    </w:pPr>
    <w:rPr>
      <w:b/>
      <w:spacing w:val="-2"/>
      <w:sz w:val="20"/>
    </w:rPr>
  </w:style>
  <w:style w:type="paragraph" w:styleId="Heading3">
    <w:name w:val="heading 3"/>
    <w:basedOn w:val="Normal"/>
    <w:next w:val="Normal"/>
    <w:link w:val="Heading3Char"/>
    <w:uiPriority w:val="99"/>
    <w:qFormat/>
    <w:rsid w:val="00361AD3"/>
    <w:pPr>
      <w:keepNext/>
      <w:suppressAutoHyphens/>
      <w:jc w:val="center"/>
      <w:outlineLvl w:val="2"/>
    </w:pPr>
    <w:rPr>
      <w:b/>
      <w:spacing w:val="-2"/>
      <w:sz w:val="20"/>
    </w:rPr>
  </w:style>
  <w:style w:type="paragraph" w:styleId="Heading4">
    <w:name w:val="heading 4"/>
    <w:basedOn w:val="Normal"/>
    <w:next w:val="Normal"/>
    <w:link w:val="Heading4Char"/>
    <w:uiPriority w:val="99"/>
    <w:qFormat/>
    <w:rsid w:val="00361AD3"/>
    <w:pPr>
      <w:keepNext/>
      <w:suppressAutoHyphens/>
      <w:jc w:val="both"/>
      <w:outlineLvl w:val="3"/>
    </w:pPr>
    <w:rPr>
      <w:i/>
      <w:spacing w:val="-2"/>
      <w:sz w:val="20"/>
    </w:rPr>
  </w:style>
  <w:style w:type="paragraph" w:styleId="Heading5">
    <w:name w:val="heading 5"/>
    <w:basedOn w:val="Normal"/>
    <w:next w:val="Normal"/>
    <w:link w:val="Heading5Char"/>
    <w:uiPriority w:val="99"/>
    <w:qFormat/>
    <w:rsid w:val="00361AD3"/>
    <w:pPr>
      <w:keepNext/>
      <w:suppressAutoHyphens/>
      <w:jc w:val="center"/>
      <w:outlineLvl w:val="4"/>
    </w:pPr>
    <w:rPr>
      <w:b/>
      <w:spacing w:val="-3"/>
      <w:sz w:val="20"/>
      <w:u w:val="single"/>
    </w:rPr>
  </w:style>
  <w:style w:type="paragraph" w:styleId="Heading6">
    <w:name w:val="heading 6"/>
    <w:basedOn w:val="Normal"/>
    <w:next w:val="Normal"/>
    <w:link w:val="Heading6Char"/>
    <w:uiPriority w:val="99"/>
    <w:qFormat/>
    <w:rsid w:val="00361AD3"/>
    <w:pPr>
      <w:keepNext/>
      <w:suppressAutoHyphens/>
      <w:outlineLvl w:val="5"/>
    </w:pPr>
    <w:rPr>
      <w:b/>
      <w:spacing w:val="-2"/>
      <w:sz w:val="20"/>
    </w:rPr>
  </w:style>
  <w:style w:type="paragraph" w:styleId="Heading7">
    <w:name w:val="heading 7"/>
    <w:basedOn w:val="Normal"/>
    <w:next w:val="Normal"/>
    <w:link w:val="Heading7Char"/>
    <w:uiPriority w:val="99"/>
    <w:qFormat/>
    <w:rsid w:val="00361AD3"/>
    <w:pPr>
      <w:keepNext/>
      <w:suppressAutoHyphens/>
      <w:jc w:val="both"/>
      <w:outlineLvl w:val="6"/>
    </w:pPr>
    <w:rPr>
      <w:rFonts w:ascii="Times New Roman" w:hAnsi="Times New Roman"/>
      <w:b/>
      <w:bCs/>
      <w:spacing w:val="-2"/>
      <w:u w:val="single"/>
    </w:rPr>
  </w:style>
  <w:style w:type="paragraph" w:styleId="Heading8">
    <w:name w:val="heading 8"/>
    <w:basedOn w:val="Normal"/>
    <w:next w:val="Normal"/>
    <w:link w:val="Heading8Char"/>
    <w:uiPriority w:val="99"/>
    <w:qFormat/>
    <w:rsid w:val="00361AD3"/>
    <w:pPr>
      <w:keepNext/>
      <w:tabs>
        <w:tab w:val="left" w:pos="342"/>
      </w:tabs>
      <w:ind w:left="-18" w:firstLine="18"/>
      <w:outlineLvl w:val="7"/>
    </w:pPr>
    <w:rPr>
      <w:b/>
      <w:sz w:val="20"/>
    </w:rPr>
  </w:style>
  <w:style w:type="paragraph" w:styleId="Heading9">
    <w:name w:val="heading 9"/>
    <w:basedOn w:val="Normal"/>
    <w:next w:val="Normal"/>
    <w:link w:val="Heading9Char"/>
    <w:uiPriority w:val="99"/>
    <w:qFormat/>
    <w:rsid w:val="00361AD3"/>
    <w:pPr>
      <w:keepNext/>
      <w:suppressAutoHyphens/>
      <w:jc w:val="both"/>
      <w:outlineLvl w:val="8"/>
    </w:pPr>
    <w:rPr>
      <w:rFonts w:ascii="Times New Roman" w:hAnsi="Times New Roman"/>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EC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47EC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47EC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locked/>
    <w:rsid w:val="005A19AD"/>
    <w:rPr>
      <w:rFonts w:ascii="Arial" w:hAnsi="Arial" w:cs="Times New Roman"/>
      <w:i/>
      <w:spacing w:val="-2"/>
    </w:rPr>
  </w:style>
  <w:style w:type="character" w:customStyle="1" w:styleId="Heading5Char">
    <w:name w:val="Heading 5 Char"/>
    <w:basedOn w:val="DefaultParagraphFont"/>
    <w:link w:val="Heading5"/>
    <w:uiPriority w:val="9"/>
    <w:semiHidden/>
    <w:rsid w:val="00547EC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47EC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547EC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47EC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47ECE"/>
    <w:rPr>
      <w:rFonts w:asciiTheme="majorHAnsi" w:eastAsiaTheme="majorEastAsia" w:hAnsiTheme="majorHAnsi" w:cstheme="majorBidi"/>
    </w:rPr>
  </w:style>
  <w:style w:type="paragraph" w:styleId="BodyTextIndent">
    <w:name w:val="Body Text Indent"/>
    <w:basedOn w:val="Normal"/>
    <w:link w:val="BodyTextIndentChar"/>
    <w:uiPriority w:val="99"/>
    <w:rsid w:val="00361AD3"/>
    <w:pPr>
      <w:suppressAutoHyphens/>
      <w:ind w:left="1440" w:hanging="720"/>
      <w:jc w:val="both"/>
    </w:pPr>
    <w:rPr>
      <w:rFonts w:ascii="Times New Roman" w:hAnsi="Times New Roman"/>
      <w:spacing w:val="-2"/>
    </w:rPr>
  </w:style>
  <w:style w:type="character" w:customStyle="1" w:styleId="BodyTextIndentChar">
    <w:name w:val="Body Text Indent Char"/>
    <w:basedOn w:val="DefaultParagraphFont"/>
    <w:link w:val="BodyTextIndent"/>
    <w:uiPriority w:val="99"/>
    <w:semiHidden/>
    <w:rsid w:val="00547ECE"/>
    <w:rPr>
      <w:rFonts w:ascii="Arial" w:hAnsi="Arial"/>
      <w:szCs w:val="20"/>
    </w:rPr>
  </w:style>
  <w:style w:type="paragraph" w:styleId="Header">
    <w:name w:val="header"/>
    <w:basedOn w:val="Normal"/>
    <w:link w:val="HeaderChar"/>
    <w:uiPriority w:val="99"/>
    <w:rsid w:val="00361AD3"/>
    <w:pPr>
      <w:tabs>
        <w:tab w:val="center" w:pos="4320"/>
        <w:tab w:val="right" w:pos="8640"/>
      </w:tabs>
    </w:pPr>
  </w:style>
  <w:style w:type="character" w:customStyle="1" w:styleId="HeaderChar">
    <w:name w:val="Header Char"/>
    <w:basedOn w:val="DefaultParagraphFont"/>
    <w:link w:val="Header"/>
    <w:uiPriority w:val="99"/>
    <w:semiHidden/>
    <w:rsid w:val="00547ECE"/>
    <w:rPr>
      <w:rFonts w:ascii="Arial" w:hAnsi="Arial"/>
      <w:szCs w:val="20"/>
    </w:rPr>
  </w:style>
  <w:style w:type="paragraph" w:styleId="Footer">
    <w:name w:val="footer"/>
    <w:basedOn w:val="Normal"/>
    <w:link w:val="FooterChar"/>
    <w:uiPriority w:val="99"/>
    <w:rsid w:val="00361AD3"/>
    <w:pPr>
      <w:tabs>
        <w:tab w:val="center" w:pos="4320"/>
        <w:tab w:val="right" w:pos="8640"/>
      </w:tabs>
    </w:pPr>
  </w:style>
  <w:style w:type="character" w:customStyle="1" w:styleId="FooterChar">
    <w:name w:val="Footer Char"/>
    <w:basedOn w:val="DefaultParagraphFont"/>
    <w:link w:val="Footer"/>
    <w:uiPriority w:val="99"/>
    <w:semiHidden/>
    <w:rsid w:val="00547ECE"/>
    <w:rPr>
      <w:rFonts w:ascii="Arial" w:hAnsi="Arial"/>
      <w:szCs w:val="20"/>
    </w:rPr>
  </w:style>
  <w:style w:type="paragraph" w:styleId="Title">
    <w:name w:val="Title"/>
    <w:basedOn w:val="Normal"/>
    <w:link w:val="TitleChar"/>
    <w:uiPriority w:val="99"/>
    <w:qFormat/>
    <w:rsid w:val="00361AD3"/>
    <w:pPr>
      <w:jc w:val="center"/>
    </w:pPr>
    <w:rPr>
      <w:b/>
      <w:u w:val="single"/>
    </w:rPr>
  </w:style>
  <w:style w:type="character" w:customStyle="1" w:styleId="TitleChar">
    <w:name w:val="Title Char"/>
    <w:basedOn w:val="DefaultParagraphFont"/>
    <w:link w:val="Title"/>
    <w:uiPriority w:val="10"/>
    <w:rsid w:val="00547ECE"/>
    <w:rPr>
      <w:rFonts w:asciiTheme="majorHAnsi" w:eastAsiaTheme="majorEastAsia" w:hAnsiTheme="majorHAnsi" w:cstheme="majorBidi"/>
      <w:b/>
      <w:bCs/>
      <w:kern w:val="28"/>
      <w:sz w:val="32"/>
      <w:szCs w:val="32"/>
    </w:rPr>
  </w:style>
  <w:style w:type="character" w:styleId="PageNumber">
    <w:name w:val="page number"/>
    <w:basedOn w:val="DefaultParagraphFont"/>
    <w:uiPriority w:val="99"/>
    <w:rsid w:val="00361AD3"/>
    <w:rPr>
      <w:rFonts w:cs="Times New Roman"/>
    </w:rPr>
  </w:style>
  <w:style w:type="paragraph" w:styleId="BodyText">
    <w:name w:val="Body Text"/>
    <w:basedOn w:val="Normal"/>
    <w:link w:val="BodyTextChar"/>
    <w:uiPriority w:val="99"/>
    <w:rsid w:val="00361AD3"/>
    <w:pPr>
      <w:tabs>
        <w:tab w:val="left" w:pos="-720"/>
        <w:tab w:val="left" w:pos="9990"/>
      </w:tabs>
      <w:suppressAutoHyphens/>
      <w:ind w:right="18"/>
      <w:jc w:val="both"/>
    </w:pPr>
    <w:rPr>
      <w:spacing w:val="-2"/>
      <w:sz w:val="20"/>
    </w:rPr>
  </w:style>
  <w:style w:type="character" w:customStyle="1" w:styleId="BodyTextChar">
    <w:name w:val="Body Text Char"/>
    <w:basedOn w:val="DefaultParagraphFont"/>
    <w:link w:val="BodyText"/>
    <w:uiPriority w:val="99"/>
    <w:semiHidden/>
    <w:rsid w:val="00547ECE"/>
    <w:rPr>
      <w:rFonts w:ascii="Arial" w:hAnsi="Arial"/>
      <w:szCs w:val="20"/>
    </w:rPr>
  </w:style>
  <w:style w:type="paragraph" w:styleId="BodyText2">
    <w:name w:val="Body Text 2"/>
    <w:basedOn w:val="Normal"/>
    <w:link w:val="BodyText2Char"/>
    <w:uiPriority w:val="99"/>
    <w:rsid w:val="00361AD3"/>
    <w:pPr>
      <w:tabs>
        <w:tab w:val="left" w:pos="1260"/>
        <w:tab w:val="left" w:pos="8100"/>
        <w:tab w:val="decimal" w:pos="9360"/>
      </w:tabs>
      <w:suppressAutoHyphens/>
      <w:jc w:val="both"/>
    </w:pPr>
    <w:rPr>
      <w:spacing w:val="-2"/>
      <w:sz w:val="20"/>
    </w:rPr>
  </w:style>
  <w:style w:type="character" w:customStyle="1" w:styleId="BodyText2Char">
    <w:name w:val="Body Text 2 Char"/>
    <w:basedOn w:val="DefaultParagraphFont"/>
    <w:link w:val="BodyText2"/>
    <w:uiPriority w:val="99"/>
    <w:locked/>
    <w:rsid w:val="000C1DD5"/>
    <w:rPr>
      <w:rFonts w:ascii="Arial" w:hAnsi="Arial" w:cs="Times New Roman"/>
      <w:spacing w:val="-2"/>
    </w:rPr>
  </w:style>
  <w:style w:type="paragraph" w:styleId="BodyText3">
    <w:name w:val="Body Text 3"/>
    <w:basedOn w:val="Normal"/>
    <w:link w:val="BodyText3Char"/>
    <w:uiPriority w:val="99"/>
    <w:rsid w:val="00361AD3"/>
    <w:pPr>
      <w:suppressAutoHyphens/>
    </w:pPr>
    <w:rPr>
      <w:spacing w:val="-2"/>
      <w:sz w:val="20"/>
    </w:rPr>
  </w:style>
  <w:style w:type="character" w:customStyle="1" w:styleId="BodyText3Char">
    <w:name w:val="Body Text 3 Char"/>
    <w:basedOn w:val="DefaultParagraphFont"/>
    <w:link w:val="BodyText3"/>
    <w:uiPriority w:val="99"/>
    <w:locked/>
    <w:rsid w:val="00EC2DE9"/>
    <w:rPr>
      <w:rFonts w:ascii="Arial" w:hAnsi="Arial" w:cs="Times New Roman"/>
      <w:spacing w:val="-2"/>
    </w:rPr>
  </w:style>
  <w:style w:type="paragraph" w:styleId="BodyTextIndent2">
    <w:name w:val="Body Text Indent 2"/>
    <w:basedOn w:val="Normal"/>
    <w:link w:val="BodyTextIndent2Char"/>
    <w:uiPriority w:val="99"/>
    <w:rsid w:val="00361AD3"/>
    <w:pPr>
      <w:suppressAutoHyphens/>
      <w:ind w:left="720"/>
      <w:jc w:val="both"/>
    </w:pPr>
    <w:rPr>
      <w:spacing w:val="-2"/>
      <w:sz w:val="20"/>
    </w:rPr>
  </w:style>
  <w:style w:type="character" w:customStyle="1" w:styleId="BodyTextIndent2Char">
    <w:name w:val="Body Text Indent 2 Char"/>
    <w:basedOn w:val="DefaultParagraphFont"/>
    <w:link w:val="BodyTextIndent2"/>
    <w:uiPriority w:val="99"/>
    <w:semiHidden/>
    <w:rsid w:val="00547ECE"/>
    <w:rPr>
      <w:rFonts w:ascii="Arial" w:hAnsi="Arial"/>
      <w:szCs w:val="20"/>
    </w:rPr>
  </w:style>
  <w:style w:type="paragraph" w:styleId="BlockText">
    <w:name w:val="Block Text"/>
    <w:basedOn w:val="Normal"/>
    <w:uiPriority w:val="99"/>
    <w:rsid w:val="00361AD3"/>
    <w:pPr>
      <w:suppressAutoHyphens/>
      <w:ind w:left="720" w:right="734"/>
      <w:jc w:val="both"/>
    </w:pPr>
    <w:rPr>
      <w:i/>
      <w:spacing w:val="-2"/>
      <w:sz w:val="20"/>
    </w:rPr>
  </w:style>
  <w:style w:type="paragraph" w:styleId="Caption">
    <w:name w:val="caption"/>
    <w:basedOn w:val="Normal"/>
    <w:next w:val="Normal"/>
    <w:uiPriority w:val="99"/>
    <w:qFormat/>
    <w:rsid w:val="00361AD3"/>
    <w:pPr>
      <w:ind w:right="360"/>
      <w:jc w:val="right"/>
    </w:pPr>
    <w:rPr>
      <w:b/>
      <w:sz w:val="20"/>
    </w:rPr>
  </w:style>
  <w:style w:type="paragraph" w:styleId="BalloonText">
    <w:name w:val="Balloon Text"/>
    <w:basedOn w:val="Normal"/>
    <w:link w:val="BalloonTextChar"/>
    <w:uiPriority w:val="99"/>
    <w:semiHidden/>
    <w:rsid w:val="00947AFB"/>
    <w:rPr>
      <w:rFonts w:ascii="Tahoma" w:hAnsi="Tahoma" w:cs="Tahoma"/>
      <w:sz w:val="16"/>
      <w:szCs w:val="16"/>
    </w:rPr>
  </w:style>
  <w:style w:type="character" w:customStyle="1" w:styleId="BalloonTextChar">
    <w:name w:val="Balloon Text Char"/>
    <w:basedOn w:val="DefaultParagraphFont"/>
    <w:link w:val="BalloonText"/>
    <w:uiPriority w:val="99"/>
    <w:semiHidden/>
    <w:rsid w:val="00547ECE"/>
    <w:rPr>
      <w:sz w:val="0"/>
      <w:szCs w:val="0"/>
    </w:rPr>
  </w:style>
  <w:style w:type="paragraph" w:styleId="NormalWeb">
    <w:name w:val="Normal (Web)"/>
    <w:basedOn w:val="Normal"/>
    <w:uiPriority w:val="99"/>
    <w:rsid w:val="00C41ACF"/>
    <w:pPr>
      <w:spacing w:before="100" w:beforeAutospacing="1" w:after="100" w:afterAutospacing="1"/>
    </w:pPr>
    <w:rPr>
      <w:rFonts w:ascii="Times New Roman" w:hAnsi="Times New Roman"/>
      <w:sz w:val="24"/>
      <w:szCs w:val="24"/>
    </w:rPr>
  </w:style>
  <w:style w:type="paragraph" w:customStyle="1" w:styleId="Normal10pt">
    <w:name w:val="Normal + 10 pt"/>
    <w:aliases w:val="Condensed by  0.1 pt"/>
    <w:basedOn w:val="Normal"/>
    <w:uiPriority w:val="99"/>
    <w:rsid w:val="00DD1C3D"/>
    <w:pPr>
      <w:suppressAutoHyphens/>
      <w:jc w:val="both"/>
    </w:pPr>
  </w:style>
  <w:style w:type="character" w:styleId="CommentReference">
    <w:name w:val="annotation reference"/>
    <w:basedOn w:val="DefaultParagraphFont"/>
    <w:uiPriority w:val="99"/>
    <w:semiHidden/>
    <w:rsid w:val="00B96760"/>
    <w:rPr>
      <w:rFonts w:cs="Times New Roman"/>
      <w:sz w:val="16"/>
      <w:szCs w:val="16"/>
    </w:rPr>
  </w:style>
  <w:style w:type="paragraph" w:styleId="CommentText">
    <w:name w:val="annotation text"/>
    <w:basedOn w:val="Normal"/>
    <w:link w:val="CommentTextChar"/>
    <w:uiPriority w:val="99"/>
    <w:semiHidden/>
    <w:rsid w:val="00B96760"/>
    <w:rPr>
      <w:sz w:val="20"/>
    </w:rPr>
  </w:style>
  <w:style w:type="character" w:customStyle="1" w:styleId="CommentTextChar">
    <w:name w:val="Comment Text Char"/>
    <w:basedOn w:val="DefaultParagraphFont"/>
    <w:link w:val="CommentText"/>
    <w:uiPriority w:val="99"/>
    <w:semiHidden/>
    <w:rsid w:val="00547ECE"/>
    <w:rPr>
      <w:rFonts w:ascii="Arial" w:hAnsi="Arial"/>
      <w:sz w:val="20"/>
      <w:szCs w:val="20"/>
    </w:rPr>
  </w:style>
  <w:style w:type="paragraph" w:styleId="CommentSubject">
    <w:name w:val="annotation subject"/>
    <w:basedOn w:val="CommentText"/>
    <w:next w:val="CommentText"/>
    <w:link w:val="CommentSubjectChar"/>
    <w:uiPriority w:val="99"/>
    <w:semiHidden/>
    <w:rsid w:val="00B96760"/>
    <w:rPr>
      <w:b/>
      <w:bCs/>
    </w:rPr>
  </w:style>
  <w:style w:type="character" w:customStyle="1" w:styleId="CommentSubjectChar">
    <w:name w:val="Comment Subject Char"/>
    <w:basedOn w:val="CommentTextChar"/>
    <w:link w:val="CommentSubject"/>
    <w:uiPriority w:val="99"/>
    <w:semiHidden/>
    <w:rsid w:val="00547ECE"/>
    <w:rPr>
      <w:rFonts w:ascii="Arial" w:hAnsi="Arial"/>
      <w:b/>
      <w:bCs/>
      <w:sz w:val="20"/>
      <w:szCs w:val="20"/>
    </w:rPr>
  </w:style>
  <w:style w:type="character" w:customStyle="1" w:styleId="CharChar3">
    <w:name w:val="Char Char3"/>
    <w:basedOn w:val="DefaultParagraphFont"/>
    <w:uiPriority w:val="99"/>
    <w:rsid w:val="000A4F88"/>
    <w:rPr>
      <w:rFonts w:ascii="Arial" w:hAnsi="Arial" w:cs="Times New Roman"/>
      <w:i/>
      <w:spacing w:val="-2"/>
      <w:lang w:val="en-US" w:eastAsia="en-US" w:bidi="ar-SA"/>
    </w:rPr>
  </w:style>
  <w:style w:type="paragraph" w:customStyle="1" w:styleId="Body2">
    <w:name w:val="Body 2"/>
    <w:basedOn w:val="Normal"/>
    <w:link w:val="Body2Char"/>
    <w:uiPriority w:val="99"/>
    <w:rsid w:val="003E1401"/>
    <w:pPr>
      <w:spacing w:after="210" w:line="264" w:lineRule="auto"/>
      <w:ind w:left="709"/>
      <w:jc w:val="both"/>
    </w:pPr>
    <w:rPr>
      <w:sz w:val="21"/>
      <w:szCs w:val="24"/>
      <w:lang w:val="en-GB"/>
    </w:rPr>
  </w:style>
  <w:style w:type="character" w:customStyle="1" w:styleId="Body2Char">
    <w:name w:val="Body 2 Char"/>
    <w:basedOn w:val="DefaultParagraphFont"/>
    <w:link w:val="Body2"/>
    <w:uiPriority w:val="99"/>
    <w:locked/>
    <w:rsid w:val="003E1401"/>
    <w:rPr>
      <w:rFonts w:ascii="Arial" w:hAnsi="Arial" w:cs="Times New Roman"/>
      <w:sz w:val="24"/>
      <w:szCs w:val="24"/>
      <w:lang w:val="en-GB" w:eastAsia="en-US" w:bidi="ar-SA"/>
    </w:rPr>
  </w:style>
  <w:style w:type="paragraph" w:styleId="TOC1">
    <w:name w:val="toc 1"/>
    <w:basedOn w:val="Normal"/>
    <w:next w:val="Normal"/>
    <w:uiPriority w:val="99"/>
    <w:rsid w:val="00D37F62"/>
    <w:pPr>
      <w:tabs>
        <w:tab w:val="right" w:leader="dot" w:pos="9360"/>
      </w:tabs>
      <w:spacing w:after="280"/>
      <w:ind w:left="187" w:right="1080" w:hanging="187"/>
    </w:pPr>
    <w:rPr>
      <w:rFonts w:ascii="Times New Roman" w:hAnsi="Times New Roman"/>
      <w:sz w:val="24"/>
      <w:szCs w:val="24"/>
    </w:rPr>
  </w:style>
  <w:style w:type="paragraph" w:customStyle="1" w:styleId="tblNormal">
    <w:name w:val="tblNormal"/>
    <w:next w:val="Normal"/>
    <w:uiPriority w:val="99"/>
    <w:rsid w:val="00D37F62"/>
    <w:pPr>
      <w:jc w:val="both"/>
    </w:pPr>
    <w:rPr>
      <w:sz w:val="24"/>
      <w:szCs w:val="20"/>
    </w:rPr>
  </w:style>
  <w:style w:type="character" w:styleId="Hyperlink">
    <w:name w:val="Hyperlink"/>
    <w:basedOn w:val="DefaultParagraphFont"/>
    <w:uiPriority w:val="99"/>
    <w:rsid w:val="00D37F62"/>
    <w:rPr>
      <w:rFonts w:cs="Times New Roman"/>
      <w:color w:val="auto"/>
    </w:rPr>
  </w:style>
  <w:style w:type="paragraph" w:customStyle="1" w:styleId="Contents">
    <w:name w:val="Contents"/>
    <w:uiPriority w:val="99"/>
    <w:rsid w:val="00D37F62"/>
    <w:pPr>
      <w:spacing w:before="1120" w:after="320"/>
      <w:jc w:val="center"/>
    </w:pPr>
    <w:rPr>
      <w:b/>
      <w:bCs/>
      <w:sz w:val="28"/>
      <w:szCs w:val="20"/>
    </w:rPr>
  </w:style>
  <w:style w:type="paragraph" w:styleId="TOC2">
    <w:name w:val="toc 2"/>
    <w:basedOn w:val="Normal"/>
    <w:next w:val="Normal"/>
    <w:uiPriority w:val="99"/>
    <w:rsid w:val="00D37F62"/>
    <w:pPr>
      <w:tabs>
        <w:tab w:val="right" w:leader="dot" w:pos="9360"/>
      </w:tabs>
      <w:ind w:left="187" w:right="1080" w:hanging="187"/>
    </w:pPr>
    <w:rPr>
      <w:rFonts w:ascii="Times New Roman" w:hAnsi="Times New Roman"/>
      <w:sz w:val="24"/>
      <w:szCs w:val="24"/>
    </w:rPr>
  </w:style>
  <w:style w:type="paragraph" w:customStyle="1" w:styleId="FSName">
    <w:name w:val="FS Name"/>
    <w:uiPriority w:val="99"/>
    <w:rsid w:val="00E30671"/>
    <w:rPr>
      <w:sz w:val="24"/>
      <w:szCs w:val="20"/>
    </w:rPr>
  </w:style>
  <w:style w:type="paragraph" w:customStyle="1" w:styleId="FSTitle">
    <w:name w:val="FS Title"/>
    <w:next w:val="FSName"/>
    <w:uiPriority w:val="99"/>
    <w:rsid w:val="00E30671"/>
    <w:pPr>
      <w:spacing w:after="280"/>
    </w:pPr>
    <w:rPr>
      <w:bCs/>
      <w:smallCaps/>
      <w:spacing w:val="50"/>
      <w:sz w:val="24"/>
      <w:szCs w:val="20"/>
    </w:rPr>
  </w:style>
  <w:style w:type="paragraph" w:customStyle="1" w:styleId="Level1">
    <w:name w:val="Level 1"/>
    <w:basedOn w:val="Normal"/>
    <w:next w:val="Normal"/>
    <w:uiPriority w:val="99"/>
    <w:rsid w:val="00107976"/>
    <w:pPr>
      <w:numPr>
        <w:numId w:val="2"/>
      </w:numPr>
      <w:spacing w:after="210" w:line="264" w:lineRule="auto"/>
      <w:jc w:val="both"/>
      <w:outlineLvl w:val="0"/>
    </w:pPr>
    <w:rPr>
      <w:sz w:val="21"/>
      <w:szCs w:val="24"/>
      <w:lang w:val="en-GB"/>
    </w:rPr>
  </w:style>
  <w:style w:type="paragraph" w:customStyle="1" w:styleId="Level2">
    <w:name w:val="Level 2"/>
    <w:basedOn w:val="Normal"/>
    <w:next w:val="Normal"/>
    <w:uiPriority w:val="99"/>
    <w:rsid w:val="00107976"/>
    <w:pPr>
      <w:numPr>
        <w:ilvl w:val="1"/>
        <w:numId w:val="2"/>
      </w:numPr>
      <w:spacing w:after="210" w:line="264" w:lineRule="auto"/>
      <w:jc w:val="both"/>
      <w:outlineLvl w:val="1"/>
    </w:pPr>
    <w:rPr>
      <w:sz w:val="21"/>
      <w:szCs w:val="24"/>
      <w:lang w:val="en-GB"/>
    </w:rPr>
  </w:style>
  <w:style w:type="paragraph" w:customStyle="1" w:styleId="Level3">
    <w:name w:val="Level 3"/>
    <w:basedOn w:val="Normal"/>
    <w:next w:val="Normal"/>
    <w:uiPriority w:val="99"/>
    <w:rsid w:val="00107976"/>
    <w:pPr>
      <w:numPr>
        <w:ilvl w:val="2"/>
        <w:numId w:val="2"/>
      </w:numPr>
      <w:spacing w:after="210" w:line="264" w:lineRule="auto"/>
      <w:jc w:val="both"/>
      <w:outlineLvl w:val="2"/>
    </w:pPr>
    <w:rPr>
      <w:sz w:val="21"/>
      <w:szCs w:val="24"/>
      <w:lang w:val="en-GB"/>
    </w:rPr>
  </w:style>
  <w:style w:type="paragraph" w:customStyle="1" w:styleId="Level4">
    <w:name w:val="Level 4"/>
    <w:basedOn w:val="Normal"/>
    <w:next w:val="Normal"/>
    <w:uiPriority w:val="99"/>
    <w:rsid w:val="00107976"/>
    <w:pPr>
      <w:numPr>
        <w:ilvl w:val="3"/>
        <w:numId w:val="2"/>
      </w:numPr>
      <w:spacing w:after="210" w:line="264" w:lineRule="auto"/>
      <w:jc w:val="both"/>
      <w:outlineLvl w:val="3"/>
    </w:pPr>
    <w:rPr>
      <w:sz w:val="21"/>
      <w:szCs w:val="24"/>
      <w:lang w:val="en-GB"/>
    </w:rPr>
  </w:style>
  <w:style w:type="paragraph" w:customStyle="1" w:styleId="Level5">
    <w:name w:val="Level 5"/>
    <w:basedOn w:val="Normal"/>
    <w:next w:val="Normal"/>
    <w:uiPriority w:val="99"/>
    <w:rsid w:val="00107976"/>
    <w:pPr>
      <w:numPr>
        <w:ilvl w:val="4"/>
        <w:numId w:val="2"/>
      </w:numPr>
      <w:spacing w:after="210" w:line="264" w:lineRule="auto"/>
      <w:jc w:val="both"/>
      <w:outlineLvl w:val="4"/>
    </w:pPr>
    <w:rPr>
      <w:sz w:val="21"/>
      <w:szCs w:val="24"/>
      <w:lang w:val="en-GB"/>
    </w:rPr>
  </w:style>
  <w:style w:type="paragraph" w:customStyle="1" w:styleId="Body">
    <w:name w:val="Body"/>
    <w:uiPriority w:val="99"/>
    <w:rsid w:val="00107976"/>
    <w:pPr>
      <w:spacing w:after="280"/>
      <w:jc w:val="both"/>
    </w:pPr>
    <w:rPr>
      <w:sz w:val="24"/>
      <w:szCs w:val="20"/>
    </w:rPr>
  </w:style>
  <w:style w:type="paragraph" w:customStyle="1" w:styleId="co">
    <w:name w:val="co"/>
    <w:basedOn w:val="Normal"/>
    <w:uiPriority w:val="99"/>
    <w:rsid w:val="00125E7A"/>
    <w:pPr>
      <w:spacing w:before="100" w:beforeAutospacing="1" w:after="100" w:afterAutospacing="1"/>
    </w:pPr>
    <w:rPr>
      <w:rFonts w:ascii="Times New Roman" w:hAnsi="Times New Roman"/>
      <w:sz w:val="24"/>
      <w:szCs w:val="24"/>
    </w:rPr>
  </w:style>
  <w:style w:type="character" w:customStyle="1" w:styleId="cm">
    <w:name w:val="cm"/>
    <w:uiPriority w:val="99"/>
    <w:rsid w:val="00125E7A"/>
  </w:style>
  <w:style w:type="paragraph" w:styleId="ListParagraph">
    <w:name w:val="List Paragraph"/>
    <w:basedOn w:val="Normal"/>
    <w:uiPriority w:val="34"/>
    <w:qFormat/>
    <w:rsid w:val="00125E7A"/>
    <w:pPr>
      <w:spacing w:after="200" w:line="276" w:lineRule="auto"/>
      <w:ind w:left="720"/>
      <w:contextualSpacing/>
    </w:pPr>
    <w:rPr>
      <w:rFonts w:ascii="Calibri" w:hAnsi="Calibri"/>
      <w:szCs w:val="22"/>
      <w:lang w:val="en-GB"/>
    </w:rPr>
  </w:style>
  <w:style w:type="paragraph" w:customStyle="1" w:styleId="bt">
    <w:name w:val="bt"/>
    <w:basedOn w:val="Normal"/>
    <w:uiPriority w:val="99"/>
    <w:rsid w:val="00AD212A"/>
    <w:pPr>
      <w:spacing w:before="100" w:beforeAutospacing="1" w:after="100" w:afterAutospacing="1"/>
    </w:pPr>
    <w:rPr>
      <w:rFonts w:ascii="Times New Roman" w:hAnsi="Times New Roman"/>
      <w:sz w:val="24"/>
      <w:szCs w:val="24"/>
    </w:rPr>
  </w:style>
  <w:style w:type="paragraph" w:customStyle="1" w:styleId="bv">
    <w:name w:val="bv"/>
    <w:basedOn w:val="Normal"/>
    <w:uiPriority w:val="99"/>
    <w:rsid w:val="00AD212A"/>
    <w:pPr>
      <w:spacing w:before="100" w:beforeAutospacing="1" w:after="100" w:afterAutospacing="1"/>
    </w:pPr>
    <w:rPr>
      <w:rFonts w:ascii="Times New Roman" w:hAnsi="Times New Roman"/>
      <w:sz w:val="24"/>
      <w:szCs w:val="24"/>
    </w:rPr>
  </w:style>
  <w:style w:type="character" w:customStyle="1" w:styleId="bb">
    <w:name w:val="bb"/>
    <w:basedOn w:val="DefaultParagraphFont"/>
    <w:uiPriority w:val="99"/>
    <w:rsid w:val="00AD212A"/>
    <w:rPr>
      <w:rFonts w:cs="Times New Roman"/>
    </w:rPr>
  </w:style>
  <w:style w:type="character" w:customStyle="1" w:styleId="at">
    <w:name w:val="at"/>
    <w:basedOn w:val="DefaultParagraphFont"/>
    <w:uiPriority w:val="99"/>
    <w:rsid w:val="00AD212A"/>
    <w:rPr>
      <w:rFonts w:cs="Times New Roman"/>
    </w:rPr>
  </w:style>
  <w:style w:type="table" w:styleId="TableGrid">
    <w:name w:val="Table Grid"/>
    <w:basedOn w:val="TableNormal"/>
    <w:rsid w:val="00DA49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753AB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547ECE"/>
    <w:rPr>
      <w:sz w:val="0"/>
      <w:szCs w:val="0"/>
    </w:rPr>
  </w:style>
  <w:style w:type="paragraph" w:customStyle="1" w:styleId="TableParagraph">
    <w:name w:val="Table Paragraph"/>
    <w:basedOn w:val="Normal"/>
    <w:uiPriority w:val="1"/>
    <w:qFormat/>
    <w:rsid w:val="00473624"/>
    <w:pPr>
      <w:widowControl w:val="0"/>
      <w:autoSpaceDE w:val="0"/>
      <w:autoSpaceDN w:val="0"/>
      <w:adjustRightInd w:val="0"/>
    </w:pPr>
    <w:rPr>
      <w:rFonts w:ascii="Times New Roman" w:eastAsiaTheme="minorEastAsia" w:hAnsi="Times New Roman"/>
      <w:sz w:val="24"/>
      <w:szCs w:val="24"/>
    </w:rPr>
  </w:style>
  <w:style w:type="paragraph" w:styleId="Revision">
    <w:name w:val="Revision"/>
    <w:hidden/>
    <w:uiPriority w:val="99"/>
    <w:semiHidden/>
    <w:rsid w:val="001D19F5"/>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30435">
      <w:marLeft w:val="0"/>
      <w:marRight w:val="0"/>
      <w:marTop w:val="0"/>
      <w:marBottom w:val="0"/>
      <w:divBdr>
        <w:top w:val="none" w:sz="0" w:space="0" w:color="auto"/>
        <w:left w:val="none" w:sz="0" w:space="0" w:color="auto"/>
        <w:bottom w:val="none" w:sz="0" w:space="0" w:color="auto"/>
        <w:right w:val="none" w:sz="0" w:space="0" w:color="auto"/>
      </w:divBdr>
    </w:div>
    <w:div w:id="95030436">
      <w:marLeft w:val="0"/>
      <w:marRight w:val="0"/>
      <w:marTop w:val="0"/>
      <w:marBottom w:val="0"/>
      <w:divBdr>
        <w:top w:val="none" w:sz="0" w:space="0" w:color="auto"/>
        <w:left w:val="none" w:sz="0" w:space="0" w:color="auto"/>
        <w:bottom w:val="none" w:sz="0" w:space="0" w:color="auto"/>
        <w:right w:val="none" w:sz="0" w:space="0" w:color="auto"/>
      </w:divBdr>
      <w:divsChild>
        <w:div w:id="95030439">
          <w:marLeft w:val="0"/>
          <w:marRight w:val="0"/>
          <w:marTop w:val="0"/>
          <w:marBottom w:val="0"/>
          <w:divBdr>
            <w:top w:val="none" w:sz="0" w:space="0" w:color="auto"/>
            <w:left w:val="none" w:sz="0" w:space="0" w:color="auto"/>
            <w:bottom w:val="none" w:sz="0" w:space="0" w:color="auto"/>
            <w:right w:val="none" w:sz="0" w:space="0" w:color="auto"/>
          </w:divBdr>
        </w:div>
      </w:divsChild>
    </w:div>
    <w:div w:id="95030437">
      <w:marLeft w:val="0"/>
      <w:marRight w:val="0"/>
      <w:marTop w:val="0"/>
      <w:marBottom w:val="0"/>
      <w:divBdr>
        <w:top w:val="none" w:sz="0" w:space="0" w:color="auto"/>
        <w:left w:val="none" w:sz="0" w:space="0" w:color="auto"/>
        <w:bottom w:val="none" w:sz="0" w:space="0" w:color="auto"/>
        <w:right w:val="none" w:sz="0" w:space="0" w:color="auto"/>
      </w:divBdr>
    </w:div>
    <w:div w:id="95030438">
      <w:marLeft w:val="0"/>
      <w:marRight w:val="0"/>
      <w:marTop w:val="0"/>
      <w:marBottom w:val="0"/>
      <w:divBdr>
        <w:top w:val="none" w:sz="0" w:space="0" w:color="auto"/>
        <w:left w:val="none" w:sz="0" w:space="0" w:color="auto"/>
        <w:bottom w:val="none" w:sz="0" w:space="0" w:color="auto"/>
        <w:right w:val="none" w:sz="0" w:space="0" w:color="auto"/>
      </w:divBdr>
    </w:div>
    <w:div w:id="95030440">
      <w:marLeft w:val="0"/>
      <w:marRight w:val="0"/>
      <w:marTop w:val="0"/>
      <w:marBottom w:val="0"/>
      <w:divBdr>
        <w:top w:val="none" w:sz="0" w:space="0" w:color="auto"/>
        <w:left w:val="none" w:sz="0" w:space="0" w:color="auto"/>
        <w:bottom w:val="none" w:sz="0" w:space="0" w:color="auto"/>
        <w:right w:val="none" w:sz="0" w:space="0" w:color="auto"/>
      </w:divBdr>
    </w:div>
    <w:div w:id="95030441">
      <w:marLeft w:val="0"/>
      <w:marRight w:val="0"/>
      <w:marTop w:val="0"/>
      <w:marBottom w:val="0"/>
      <w:divBdr>
        <w:top w:val="none" w:sz="0" w:space="0" w:color="auto"/>
        <w:left w:val="none" w:sz="0" w:space="0" w:color="auto"/>
        <w:bottom w:val="none" w:sz="0" w:space="0" w:color="auto"/>
        <w:right w:val="none" w:sz="0" w:space="0" w:color="auto"/>
      </w:divBdr>
    </w:div>
    <w:div w:id="95030442">
      <w:marLeft w:val="0"/>
      <w:marRight w:val="0"/>
      <w:marTop w:val="0"/>
      <w:marBottom w:val="0"/>
      <w:divBdr>
        <w:top w:val="none" w:sz="0" w:space="0" w:color="auto"/>
        <w:left w:val="none" w:sz="0" w:space="0" w:color="auto"/>
        <w:bottom w:val="none" w:sz="0" w:space="0" w:color="auto"/>
        <w:right w:val="none" w:sz="0" w:space="0" w:color="auto"/>
      </w:divBdr>
    </w:div>
    <w:div w:id="149175706">
      <w:bodyDiv w:val="1"/>
      <w:marLeft w:val="0"/>
      <w:marRight w:val="0"/>
      <w:marTop w:val="0"/>
      <w:marBottom w:val="0"/>
      <w:divBdr>
        <w:top w:val="none" w:sz="0" w:space="0" w:color="auto"/>
        <w:left w:val="none" w:sz="0" w:space="0" w:color="auto"/>
        <w:bottom w:val="none" w:sz="0" w:space="0" w:color="auto"/>
        <w:right w:val="none" w:sz="0" w:space="0" w:color="auto"/>
      </w:divBdr>
    </w:div>
    <w:div w:id="225384581">
      <w:bodyDiv w:val="1"/>
      <w:marLeft w:val="0"/>
      <w:marRight w:val="0"/>
      <w:marTop w:val="0"/>
      <w:marBottom w:val="0"/>
      <w:divBdr>
        <w:top w:val="none" w:sz="0" w:space="0" w:color="auto"/>
        <w:left w:val="none" w:sz="0" w:space="0" w:color="auto"/>
        <w:bottom w:val="none" w:sz="0" w:space="0" w:color="auto"/>
        <w:right w:val="none" w:sz="0" w:space="0" w:color="auto"/>
      </w:divBdr>
    </w:div>
    <w:div w:id="855657423">
      <w:bodyDiv w:val="1"/>
      <w:marLeft w:val="0"/>
      <w:marRight w:val="0"/>
      <w:marTop w:val="0"/>
      <w:marBottom w:val="0"/>
      <w:divBdr>
        <w:top w:val="none" w:sz="0" w:space="0" w:color="auto"/>
        <w:left w:val="none" w:sz="0" w:space="0" w:color="auto"/>
        <w:bottom w:val="none" w:sz="0" w:space="0" w:color="auto"/>
        <w:right w:val="none" w:sz="0" w:space="0" w:color="auto"/>
      </w:divBdr>
    </w:div>
    <w:div w:id="1063873033">
      <w:bodyDiv w:val="1"/>
      <w:marLeft w:val="0"/>
      <w:marRight w:val="0"/>
      <w:marTop w:val="0"/>
      <w:marBottom w:val="0"/>
      <w:divBdr>
        <w:top w:val="none" w:sz="0" w:space="0" w:color="auto"/>
        <w:left w:val="none" w:sz="0" w:space="0" w:color="auto"/>
        <w:bottom w:val="none" w:sz="0" w:space="0" w:color="auto"/>
        <w:right w:val="none" w:sz="0" w:space="0" w:color="auto"/>
      </w:divBdr>
    </w:div>
    <w:div w:id="1567302767">
      <w:bodyDiv w:val="1"/>
      <w:marLeft w:val="0"/>
      <w:marRight w:val="0"/>
      <w:marTop w:val="0"/>
      <w:marBottom w:val="0"/>
      <w:divBdr>
        <w:top w:val="none" w:sz="0" w:space="0" w:color="auto"/>
        <w:left w:val="none" w:sz="0" w:space="0" w:color="auto"/>
        <w:bottom w:val="none" w:sz="0" w:space="0" w:color="auto"/>
        <w:right w:val="none" w:sz="0" w:space="0" w:color="auto"/>
      </w:divBdr>
    </w:div>
    <w:div w:id="1956868928">
      <w:bodyDiv w:val="1"/>
      <w:marLeft w:val="0"/>
      <w:marRight w:val="0"/>
      <w:marTop w:val="0"/>
      <w:marBottom w:val="0"/>
      <w:divBdr>
        <w:top w:val="none" w:sz="0" w:space="0" w:color="auto"/>
        <w:left w:val="none" w:sz="0" w:space="0" w:color="auto"/>
        <w:bottom w:val="none" w:sz="0" w:space="0" w:color="auto"/>
        <w:right w:val="none" w:sz="0" w:space="0" w:color="auto"/>
      </w:divBdr>
    </w:div>
    <w:div w:id="2028366822">
      <w:bodyDiv w:val="1"/>
      <w:marLeft w:val="0"/>
      <w:marRight w:val="0"/>
      <w:marTop w:val="0"/>
      <w:marBottom w:val="0"/>
      <w:divBdr>
        <w:top w:val="none" w:sz="0" w:space="0" w:color="auto"/>
        <w:left w:val="none" w:sz="0" w:space="0" w:color="auto"/>
        <w:bottom w:val="none" w:sz="0" w:space="0" w:color="auto"/>
        <w:right w:val="none" w:sz="0" w:space="0" w:color="auto"/>
      </w:divBdr>
    </w:div>
    <w:div w:id="20827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C784B-0743-44B7-90B8-A97F5193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10416</Words>
  <Characters>59364</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WP_REF_2004_WORD_PORTION.DOC  (WP_REF~1.DOC;1)</vt:lpstr>
    </vt:vector>
  </TitlesOfParts>
  <Company>Dell Computer Corporation</Company>
  <LinksUpToDate>false</LinksUpToDate>
  <CharactersWithSpaces>69641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WP_REF_2004_WORD_PORTION.DOC  (WP_REF~1.DOC;1)</dc:title>
  <dc:subject>G:\PPC-Schwartz\RK_Fund0\2004_Cu0\WP_Ref_2004_Word_Portion.doc</dc:subject>
  <dc:creator>Mark T. Ruzicka</dc:creator>
  <cp:lastModifiedBy>hughesj</cp:lastModifiedBy>
  <cp:revision>2</cp:revision>
  <cp:lastPrinted>2015-02-16T18:28:00Z</cp:lastPrinted>
  <dcterms:created xsi:type="dcterms:W3CDTF">2016-02-22T18:10:00Z</dcterms:created>
  <dcterms:modified xsi:type="dcterms:W3CDTF">2016-02-22T18:10:00Z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PC_Pmpr_Id">
    <vt:lpwstr>{31362F17-2EEC-4247-A17D-6514475BDD75}</vt:lpwstr>
  </property>
  <property fmtid="{D5CDD505-2E9C-101B-9397-08002B2CF9AE}" pid="3" name="PublishingExpirationDate">
    <vt:lpwstr/>
  </property>
  <property fmtid="{D5CDD505-2E9C-101B-9397-08002B2CF9AE}" pid="4" name="PublishingStartDate">
    <vt:lpwstr/>
  </property>
  <property fmtid="{D5CDD505-2E9C-101B-9397-08002B2CF9AE}" pid="5" name="Version">
    <vt:i4>20</vt:i4>
  </property>
</Properties>
</file>